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3C4" w:rsidRPr="009263C4" w:rsidRDefault="009263C4" w:rsidP="00452935">
      <w:pPr>
        <w:spacing w:after="120" w:line="264" w:lineRule="auto"/>
        <w:rPr>
          <w:rFonts w:asciiTheme="minorHAnsi" w:hAnsiTheme="minorHAnsi"/>
          <w:szCs w:val="24"/>
        </w:rPr>
      </w:pPr>
      <w:r w:rsidRPr="009263C4">
        <w:rPr>
          <w:rFonts w:asciiTheme="minorHAnsi" w:hAnsiTheme="minorHAnsi"/>
          <w:szCs w:val="24"/>
        </w:rPr>
        <w:t xml:space="preserve">November </w:t>
      </w:r>
      <w:r w:rsidR="00E22A09" w:rsidRPr="0091590F">
        <w:rPr>
          <w:rFonts w:asciiTheme="minorHAnsi" w:hAnsiTheme="minorHAnsi"/>
          <w:szCs w:val="24"/>
        </w:rPr>
        <w:t>16</w:t>
      </w:r>
      <w:r w:rsidRPr="009263C4">
        <w:rPr>
          <w:rFonts w:asciiTheme="minorHAnsi" w:hAnsiTheme="minorHAnsi"/>
          <w:szCs w:val="24"/>
        </w:rPr>
        <w:t>, 2015</w:t>
      </w:r>
    </w:p>
    <w:p w:rsidR="009263C4" w:rsidRPr="009263C4" w:rsidRDefault="009263C4" w:rsidP="00F9138F">
      <w:pPr>
        <w:rPr>
          <w:rFonts w:asciiTheme="minorHAnsi" w:hAnsiTheme="minorHAnsi"/>
          <w:szCs w:val="24"/>
        </w:rPr>
      </w:pPr>
      <w:r w:rsidRPr="009263C4">
        <w:rPr>
          <w:rFonts w:asciiTheme="minorHAnsi" w:hAnsiTheme="minorHAnsi"/>
          <w:szCs w:val="24"/>
        </w:rPr>
        <w:t>The Honorable Sylvia Mathews Burwell, Secretary</w:t>
      </w:r>
    </w:p>
    <w:p w:rsidR="009263C4" w:rsidRPr="009263C4" w:rsidRDefault="009263C4" w:rsidP="00F9138F">
      <w:pPr>
        <w:rPr>
          <w:rFonts w:asciiTheme="minorHAnsi" w:hAnsiTheme="minorHAnsi"/>
          <w:szCs w:val="24"/>
        </w:rPr>
      </w:pPr>
      <w:r w:rsidRPr="009263C4">
        <w:rPr>
          <w:rFonts w:asciiTheme="minorHAnsi" w:hAnsiTheme="minorHAnsi"/>
          <w:szCs w:val="24"/>
        </w:rPr>
        <w:t xml:space="preserve">Department of Health and Human Services </w:t>
      </w:r>
    </w:p>
    <w:p w:rsidR="009263C4" w:rsidRPr="009263C4" w:rsidRDefault="009263C4" w:rsidP="00F9138F">
      <w:pPr>
        <w:rPr>
          <w:rFonts w:asciiTheme="minorHAnsi" w:hAnsiTheme="minorHAnsi"/>
          <w:szCs w:val="24"/>
        </w:rPr>
      </w:pPr>
      <w:r w:rsidRPr="009263C4">
        <w:rPr>
          <w:rFonts w:asciiTheme="minorHAnsi" w:hAnsiTheme="minorHAnsi"/>
          <w:szCs w:val="24"/>
        </w:rPr>
        <w:t xml:space="preserve">200 Independence Avenue SW </w:t>
      </w:r>
    </w:p>
    <w:p w:rsidR="009263C4" w:rsidRPr="009263C4" w:rsidRDefault="009263C4" w:rsidP="00F9138F">
      <w:pPr>
        <w:rPr>
          <w:rFonts w:asciiTheme="minorHAnsi" w:hAnsiTheme="minorHAnsi"/>
          <w:szCs w:val="24"/>
        </w:rPr>
      </w:pPr>
      <w:r w:rsidRPr="009263C4">
        <w:rPr>
          <w:rFonts w:asciiTheme="minorHAnsi" w:hAnsiTheme="minorHAnsi"/>
          <w:szCs w:val="24"/>
        </w:rPr>
        <w:t xml:space="preserve">Washington, DC 20201 </w:t>
      </w:r>
      <w:bookmarkStart w:id="0" w:name="_GoBack"/>
      <w:bookmarkEnd w:id="0"/>
    </w:p>
    <w:p w:rsidR="009263C4" w:rsidRPr="009263C4" w:rsidRDefault="009263C4" w:rsidP="00F9138F">
      <w:pPr>
        <w:rPr>
          <w:rFonts w:asciiTheme="minorHAnsi" w:hAnsiTheme="minorHAnsi"/>
          <w:szCs w:val="24"/>
        </w:rPr>
      </w:pPr>
    </w:p>
    <w:p w:rsidR="009263C4" w:rsidRPr="009263C4" w:rsidRDefault="009263C4" w:rsidP="00F9138F">
      <w:pPr>
        <w:rPr>
          <w:rFonts w:asciiTheme="minorHAnsi" w:hAnsiTheme="minorHAnsi"/>
          <w:szCs w:val="24"/>
        </w:rPr>
      </w:pPr>
      <w:r w:rsidRPr="009263C4">
        <w:rPr>
          <w:rFonts w:asciiTheme="minorHAnsi" w:hAnsiTheme="minorHAnsi"/>
          <w:szCs w:val="24"/>
        </w:rPr>
        <w:t>Andy Slavitt</w:t>
      </w:r>
      <w:r w:rsidR="00E22A09" w:rsidRPr="0091590F">
        <w:rPr>
          <w:rFonts w:asciiTheme="minorHAnsi" w:hAnsiTheme="minorHAnsi"/>
          <w:szCs w:val="24"/>
        </w:rPr>
        <w:t xml:space="preserve">, </w:t>
      </w:r>
      <w:r w:rsidRPr="009263C4">
        <w:rPr>
          <w:rFonts w:asciiTheme="minorHAnsi" w:hAnsiTheme="minorHAnsi"/>
          <w:szCs w:val="24"/>
        </w:rPr>
        <w:t>Acting Administrator</w:t>
      </w:r>
    </w:p>
    <w:p w:rsidR="009263C4" w:rsidRPr="009263C4" w:rsidRDefault="009263C4" w:rsidP="00F9138F">
      <w:pPr>
        <w:rPr>
          <w:rFonts w:asciiTheme="minorHAnsi" w:hAnsiTheme="minorHAnsi"/>
          <w:szCs w:val="24"/>
        </w:rPr>
      </w:pPr>
      <w:r w:rsidRPr="009263C4">
        <w:rPr>
          <w:rFonts w:asciiTheme="minorHAnsi" w:hAnsiTheme="minorHAnsi"/>
          <w:szCs w:val="24"/>
        </w:rPr>
        <w:t>Centers for Medicare and Medicaid Services</w:t>
      </w:r>
    </w:p>
    <w:p w:rsidR="009263C4" w:rsidRPr="009263C4" w:rsidRDefault="009263C4" w:rsidP="00F9138F">
      <w:pPr>
        <w:rPr>
          <w:rFonts w:asciiTheme="minorHAnsi" w:hAnsiTheme="minorHAnsi"/>
          <w:szCs w:val="24"/>
        </w:rPr>
      </w:pPr>
      <w:r w:rsidRPr="009263C4">
        <w:rPr>
          <w:rFonts w:asciiTheme="minorHAnsi" w:hAnsiTheme="minorHAnsi"/>
          <w:szCs w:val="24"/>
        </w:rPr>
        <w:t>Department of Health and Human Services</w:t>
      </w:r>
    </w:p>
    <w:p w:rsidR="009263C4" w:rsidRPr="009263C4" w:rsidRDefault="009263C4" w:rsidP="00F9138F">
      <w:pPr>
        <w:rPr>
          <w:rFonts w:asciiTheme="minorHAnsi" w:hAnsiTheme="minorHAnsi"/>
          <w:szCs w:val="24"/>
        </w:rPr>
      </w:pPr>
      <w:r w:rsidRPr="009263C4">
        <w:rPr>
          <w:rFonts w:asciiTheme="minorHAnsi" w:hAnsiTheme="minorHAnsi"/>
          <w:szCs w:val="24"/>
        </w:rPr>
        <w:t>201 Independence Avenue, SW Room 445-G</w:t>
      </w:r>
    </w:p>
    <w:p w:rsidR="009263C4" w:rsidRPr="009263C4" w:rsidRDefault="009263C4" w:rsidP="00F9138F">
      <w:pPr>
        <w:spacing w:after="240"/>
        <w:rPr>
          <w:rFonts w:asciiTheme="minorHAnsi" w:hAnsiTheme="minorHAnsi"/>
          <w:szCs w:val="24"/>
        </w:rPr>
      </w:pPr>
      <w:r w:rsidRPr="009263C4">
        <w:rPr>
          <w:rFonts w:asciiTheme="minorHAnsi" w:hAnsiTheme="minorHAnsi"/>
          <w:szCs w:val="24"/>
        </w:rPr>
        <w:t>Washington, D.C. 20201</w:t>
      </w:r>
    </w:p>
    <w:p w:rsidR="009263C4" w:rsidRPr="009263C4" w:rsidRDefault="00E22A09" w:rsidP="00237C35">
      <w:pPr>
        <w:spacing w:after="120"/>
        <w:rPr>
          <w:rFonts w:asciiTheme="minorHAnsi" w:hAnsiTheme="minorHAnsi"/>
          <w:b/>
          <w:i/>
          <w:szCs w:val="24"/>
        </w:rPr>
      </w:pPr>
      <w:r w:rsidRPr="0091590F">
        <w:rPr>
          <w:rFonts w:asciiTheme="minorHAnsi" w:hAnsiTheme="minorHAnsi"/>
          <w:b/>
          <w:i/>
          <w:szCs w:val="24"/>
        </w:rPr>
        <w:t>Re: Texas Healthcare Transformation an</w:t>
      </w:r>
      <w:r w:rsidR="00047A32" w:rsidRPr="0091590F">
        <w:rPr>
          <w:rFonts w:asciiTheme="minorHAnsi" w:hAnsiTheme="minorHAnsi"/>
          <w:b/>
          <w:i/>
          <w:szCs w:val="24"/>
        </w:rPr>
        <w:t xml:space="preserve">d Quality Improvement Program </w:t>
      </w:r>
      <w:r w:rsidR="00047A32" w:rsidRPr="009263C4">
        <w:rPr>
          <w:rFonts w:asciiTheme="minorHAnsi" w:hAnsiTheme="minorHAnsi"/>
          <w:b/>
          <w:i/>
          <w:szCs w:val="24"/>
        </w:rPr>
        <w:t>Section 1115</w:t>
      </w:r>
      <w:r w:rsidR="00047A32" w:rsidRPr="0091590F">
        <w:rPr>
          <w:rFonts w:asciiTheme="minorHAnsi" w:hAnsiTheme="minorHAnsi"/>
          <w:b/>
          <w:i/>
          <w:szCs w:val="24"/>
        </w:rPr>
        <w:t xml:space="preserve"> Medicaid Demonstration Project </w:t>
      </w:r>
      <w:r w:rsidRPr="0091590F">
        <w:rPr>
          <w:rFonts w:asciiTheme="minorHAnsi" w:hAnsiTheme="minorHAnsi"/>
          <w:b/>
          <w:i/>
          <w:szCs w:val="24"/>
        </w:rPr>
        <w:t xml:space="preserve">- Five Year Extension </w:t>
      </w:r>
      <w:r w:rsidR="00047A32" w:rsidRPr="0091590F">
        <w:rPr>
          <w:rFonts w:asciiTheme="minorHAnsi" w:hAnsiTheme="minorHAnsi"/>
          <w:b/>
          <w:i/>
          <w:szCs w:val="24"/>
        </w:rPr>
        <w:t>Proposal</w:t>
      </w:r>
    </w:p>
    <w:p w:rsidR="009263C4" w:rsidRPr="009263C4" w:rsidRDefault="009263C4" w:rsidP="00452935">
      <w:pPr>
        <w:spacing w:after="120" w:line="264" w:lineRule="auto"/>
        <w:rPr>
          <w:rFonts w:asciiTheme="minorHAnsi" w:hAnsiTheme="minorHAnsi"/>
          <w:szCs w:val="24"/>
        </w:rPr>
      </w:pPr>
      <w:r w:rsidRPr="009263C4">
        <w:rPr>
          <w:rFonts w:asciiTheme="minorHAnsi" w:hAnsiTheme="minorHAnsi"/>
          <w:szCs w:val="24"/>
        </w:rPr>
        <w:t xml:space="preserve">Dear Secretary Burwell and Acting Administrator Slavitt: </w:t>
      </w:r>
    </w:p>
    <w:p w:rsidR="00194E2A" w:rsidRPr="0091590F" w:rsidRDefault="009263C4" w:rsidP="00452935">
      <w:pPr>
        <w:spacing w:after="120" w:line="264" w:lineRule="auto"/>
        <w:rPr>
          <w:rFonts w:asciiTheme="minorHAnsi" w:eastAsiaTheme="minorEastAsia" w:hAnsiTheme="minorHAnsi" w:cstheme="minorBidi"/>
          <w:szCs w:val="24"/>
        </w:rPr>
      </w:pPr>
      <w:r w:rsidRPr="0091590F">
        <w:rPr>
          <w:rFonts w:ascii="Calibri" w:hAnsi="Calibri" w:cs="Arial"/>
          <w:szCs w:val="24"/>
        </w:rPr>
        <w:t>The Center for Public Policies (CPPP) appreciates the opportunity to comment on</w:t>
      </w:r>
      <w:r w:rsidR="00194E2A" w:rsidRPr="0091590F">
        <w:rPr>
          <w:rFonts w:ascii="Calibri" w:hAnsi="Calibri" w:cs="Arial"/>
          <w:szCs w:val="24"/>
        </w:rPr>
        <w:t xml:space="preserve"> Texas’ request for extension of the </w:t>
      </w:r>
      <w:r w:rsidR="00194E2A" w:rsidRPr="009263C4">
        <w:rPr>
          <w:rFonts w:asciiTheme="minorHAnsi" w:eastAsiaTheme="minorEastAsia" w:hAnsiTheme="minorHAnsi" w:cstheme="minorBidi"/>
          <w:szCs w:val="24"/>
        </w:rPr>
        <w:t>Texas Healthcare Transformation and Quality Improvement Program 1115 demonstration waiver</w:t>
      </w:r>
      <w:r w:rsidR="00194E2A" w:rsidRPr="0091590F">
        <w:rPr>
          <w:rFonts w:asciiTheme="minorHAnsi" w:eastAsiaTheme="minorEastAsia" w:hAnsiTheme="minorHAnsi" w:cstheme="minorBidi"/>
          <w:szCs w:val="24"/>
        </w:rPr>
        <w:t>.</w:t>
      </w:r>
    </w:p>
    <w:p w:rsidR="006F76A2" w:rsidRPr="0091590F" w:rsidRDefault="009263C4" w:rsidP="00452935">
      <w:pPr>
        <w:spacing w:after="120" w:line="264" w:lineRule="auto"/>
        <w:rPr>
          <w:rFonts w:ascii="Calibri" w:hAnsi="Calibri" w:cs="Arial"/>
          <w:szCs w:val="24"/>
        </w:rPr>
      </w:pPr>
      <w:r w:rsidRPr="0091590F">
        <w:rPr>
          <w:rFonts w:ascii="Calibri" w:hAnsi="Calibri" w:cs="Arial"/>
          <w:szCs w:val="24"/>
        </w:rPr>
        <w:t>CPPP is an independent public policy organization established in 1985</w:t>
      </w:r>
      <w:r w:rsidR="00ED3384" w:rsidRPr="0091590F">
        <w:rPr>
          <w:rFonts w:ascii="Calibri" w:hAnsi="Calibri" w:cs="Arial"/>
          <w:szCs w:val="24"/>
        </w:rPr>
        <w:t>.  We use</w:t>
      </w:r>
      <w:r w:rsidRPr="0091590F">
        <w:rPr>
          <w:rFonts w:ascii="Calibri" w:hAnsi="Calibri" w:cs="Arial"/>
          <w:szCs w:val="24"/>
        </w:rPr>
        <w:t xml:space="preserve"> data and analysis, public education, advocacy, and technical assistance to advocate for solutions that enable Texans of all backgrounds to reach their full potential. </w:t>
      </w:r>
      <w:r w:rsidR="00452935" w:rsidRPr="0091590F">
        <w:rPr>
          <w:rFonts w:ascii="Calibri" w:hAnsi="Calibri" w:cs="Arial"/>
          <w:szCs w:val="24"/>
        </w:rPr>
        <w:t xml:space="preserve"> </w:t>
      </w:r>
      <w:r w:rsidRPr="0091590F">
        <w:rPr>
          <w:rFonts w:ascii="Calibri" w:hAnsi="Calibri" w:cs="Arial"/>
          <w:szCs w:val="24"/>
        </w:rPr>
        <w:t xml:space="preserve">Improving access to health care for Texans has been at the core of our mission and activities since our founding. </w:t>
      </w:r>
    </w:p>
    <w:p w:rsidR="00452935" w:rsidRPr="0091590F" w:rsidRDefault="00452935" w:rsidP="00452935">
      <w:pPr>
        <w:spacing w:after="120" w:line="264" w:lineRule="auto"/>
        <w:rPr>
          <w:rFonts w:ascii="Calibri" w:hAnsi="Calibri" w:cs="Arial"/>
          <w:b/>
          <w:szCs w:val="24"/>
          <w:u w:val="single"/>
        </w:rPr>
      </w:pPr>
      <w:r w:rsidRPr="0091590F">
        <w:rPr>
          <w:rFonts w:ascii="Calibri" w:hAnsi="Calibri" w:cs="Arial"/>
          <w:b/>
          <w:szCs w:val="24"/>
          <w:u w:val="single"/>
        </w:rPr>
        <w:t>Background</w:t>
      </w:r>
    </w:p>
    <w:p w:rsidR="00B70B7F" w:rsidRPr="0091590F" w:rsidRDefault="0061321D" w:rsidP="00452935">
      <w:pPr>
        <w:spacing w:after="120" w:line="264" w:lineRule="auto"/>
        <w:rPr>
          <w:rFonts w:ascii="Calibri" w:hAnsi="Calibri" w:cs="Arial"/>
          <w:szCs w:val="24"/>
        </w:rPr>
      </w:pPr>
      <w:r w:rsidRPr="0091590F">
        <w:rPr>
          <w:rFonts w:ascii="Calibri" w:hAnsi="Calibri" w:cs="Arial"/>
          <w:szCs w:val="24"/>
        </w:rPr>
        <w:t xml:space="preserve">Texas’ expiring 5-year Medicaid 1115 waiver provides critical support to Texas’ health care providers, through both “Uncompensated Care” </w:t>
      </w:r>
      <w:r w:rsidR="00E81AD7">
        <w:rPr>
          <w:rFonts w:ascii="Calibri" w:hAnsi="Calibri" w:cs="Arial"/>
          <w:szCs w:val="24"/>
        </w:rPr>
        <w:t xml:space="preserve">(UC) </w:t>
      </w:r>
      <w:r w:rsidRPr="0091590F">
        <w:rPr>
          <w:rFonts w:ascii="Calibri" w:hAnsi="Calibri" w:cs="Arial"/>
          <w:szCs w:val="24"/>
        </w:rPr>
        <w:t>funding for unpaid hospital bills of the uninsured</w:t>
      </w:r>
      <w:r w:rsidR="00B70B7F" w:rsidRPr="0091590F">
        <w:rPr>
          <w:rFonts w:ascii="Calibri" w:hAnsi="Calibri" w:cs="Arial"/>
          <w:szCs w:val="24"/>
        </w:rPr>
        <w:t xml:space="preserve"> and the gap between Texas Medicaid and </w:t>
      </w:r>
      <w:r w:rsidR="00B70B7F" w:rsidRPr="0091590F">
        <w:rPr>
          <w:rFonts w:ascii="Calibri" w:hAnsi="Calibri" w:cs="Arial"/>
          <w:szCs w:val="24"/>
        </w:rPr>
        <w:lastRenderedPageBreak/>
        <w:t>federal Medicare rates</w:t>
      </w:r>
      <w:r w:rsidRPr="0091590F">
        <w:rPr>
          <w:rFonts w:ascii="Calibri" w:hAnsi="Calibri" w:cs="Arial"/>
          <w:szCs w:val="24"/>
        </w:rPr>
        <w:t xml:space="preserve">, and through the </w:t>
      </w:r>
      <w:r w:rsidR="00E81AD7">
        <w:rPr>
          <w:rFonts w:ascii="Calibri" w:hAnsi="Calibri" w:cs="Arial"/>
          <w:szCs w:val="24"/>
        </w:rPr>
        <w:t>“</w:t>
      </w:r>
      <w:r w:rsidR="00E81AD7" w:rsidRPr="0091590F">
        <w:rPr>
          <w:rFonts w:ascii="Calibri" w:hAnsi="Calibri" w:cs="Arial"/>
          <w:szCs w:val="24"/>
        </w:rPr>
        <w:t>Delivery System Reform Incentive Payment</w:t>
      </w:r>
      <w:r w:rsidR="00E81AD7">
        <w:rPr>
          <w:rFonts w:ascii="Calibri" w:hAnsi="Calibri" w:cs="Arial"/>
          <w:szCs w:val="24"/>
        </w:rPr>
        <w:t>”</w:t>
      </w:r>
      <w:r w:rsidR="00E81AD7" w:rsidRPr="0091590F">
        <w:rPr>
          <w:rFonts w:ascii="Calibri" w:hAnsi="Calibri" w:cs="Arial"/>
          <w:szCs w:val="24"/>
        </w:rPr>
        <w:t xml:space="preserve"> </w:t>
      </w:r>
      <w:r w:rsidR="00E81AD7">
        <w:rPr>
          <w:rFonts w:ascii="Calibri" w:hAnsi="Calibri" w:cs="Arial"/>
          <w:szCs w:val="24"/>
        </w:rPr>
        <w:t>(DSRIP)</w:t>
      </w:r>
      <w:r w:rsidRPr="0091590F">
        <w:rPr>
          <w:rFonts w:ascii="Calibri" w:hAnsi="Calibri" w:cs="Arial"/>
          <w:szCs w:val="24"/>
        </w:rPr>
        <w:t xml:space="preserve"> half of the waiver </w:t>
      </w:r>
      <w:r w:rsidR="00F61003">
        <w:rPr>
          <w:rFonts w:ascii="Calibri" w:hAnsi="Calibri" w:cs="Arial"/>
          <w:szCs w:val="24"/>
        </w:rPr>
        <w:t xml:space="preserve">which </w:t>
      </w:r>
      <w:r w:rsidRPr="0091590F">
        <w:rPr>
          <w:rFonts w:ascii="Calibri" w:hAnsi="Calibri" w:cs="Arial"/>
          <w:szCs w:val="24"/>
        </w:rPr>
        <w:t xml:space="preserve">pays for innovative health projects in local communities.  However, the waiver does not provide health insurance coverage to any Texans.  </w:t>
      </w:r>
    </w:p>
    <w:p w:rsidR="0061321D" w:rsidRPr="0091590F" w:rsidRDefault="0061321D" w:rsidP="00452935">
      <w:pPr>
        <w:spacing w:after="120" w:line="264" w:lineRule="auto"/>
        <w:rPr>
          <w:rFonts w:ascii="Calibri" w:hAnsi="Calibri" w:cs="Arial"/>
          <w:szCs w:val="24"/>
        </w:rPr>
      </w:pPr>
      <w:r w:rsidRPr="0091590F">
        <w:rPr>
          <w:rFonts w:ascii="Calibri" w:hAnsi="Calibri" w:cs="Arial"/>
          <w:szCs w:val="24"/>
        </w:rPr>
        <w:t xml:space="preserve">The waiver today provides about $4 billion a year in important federal health care funding, largely to Texas hospitals but also to other care providers in the state.  Federal fiscal year 2016 is the final year of our original 5-year waiver approval period, and </w:t>
      </w:r>
      <w:r w:rsidR="00452935" w:rsidRPr="0091590F">
        <w:rPr>
          <w:rFonts w:ascii="Calibri" w:hAnsi="Calibri" w:cs="Arial"/>
          <w:szCs w:val="24"/>
        </w:rPr>
        <w:t xml:space="preserve">our comments today refer to the application by </w:t>
      </w:r>
      <w:r w:rsidRPr="0091590F">
        <w:rPr>
          <w:rFonts w:ascii="Calibri" w:hAnsi="Calibri" w:cs="Arial"/>
          <w:szCs w:val="24"/>
        </w:rPr>
        <w:t xml:space="preserve">Texas Medicaid officials for a five-year extension.  In 2016, the $4 billion </w:t>
      </w:r>
      <w:r w:rsidR="00F61003">
        <w:rPr>
          <w:rFonts w:ascii="Calibri" w:hAnsi="Calibri" w:cs="Arial"/>
          <w:szCs w:val="24"/>
        </w:rPr>
        <w:t xml:space="preserve">in </w:t>
      </w:r>
      <w:r w:rsidRPr="0091590F">
        <w:rPr>
          <w:rFonts w:ascii="Calibri" w:hAnsi="Calibri" w:cs="Arial"/>
          <w:szCs w:val="24"/>
        </w:rPr>
        <w:t xml:space="preserve">federal </w:t>
      </w:r>
      <w:r w:rsidR="00F61003">
        <w:rPr>
          <w:rFonts w:ascii="Calibri" w:hAnsi="Calibri" w:cs="Arial"/>
          <w:szCs w:val="24"/>
        </w:rPr>
        <w:t xml:space="preserve">matching </w:t>
      </w:r>
      <w:r w:rsidRPr="0091590F">
        <w:rPr>
          <w:rFonts w:ascii="Calibri" w:hAnsi="Calibri" w:cs="Arial"/>
          <w:szCs w:val="24"/>
        </w:rPr>
        <w:t xml:space="preserve">funds is </w:t>
      </w:r>
      <w:r w:rsidR="00F61003">
        <w:rPr>
          <w:rFonts w:ascii="Calibri" w:hAnsi="Calibri" w:cs="Arial"/>
          <w:szCs w:val="24"/>
        </w:rPr>
        <w:t xml:space="preserve">budgeted to be </w:t>
      </w:r>
      <w:r w:rsidRPr="0091590F">
        <w:rPr>
          <w:rFonts w:ascii="Calibri" w:hAnsi="Calibri" w:cs="Arial"/>
          <w:szCs w:val="24"/>
        </w:rPr>
        <w:t xml:space="preserve">split </w:t>
      </w:r>
      <w:r w:rsidR="00F61003">
        <w:rPr>
          <w:rFonts w:ascii="Calibri" w:hAnsi="Calibri" w:cs="Arial"/>
          <w:szCs w:val="24"/>
        </w:rPr>
        <w:t xml:space="preserve">about </w:t>
      </w:r>
      <w:r w:rsidRPr="0091590F">
        <w:rPr>
          <w:rFonts w:ascii="Calibri" w:hAnsi="Calibri" w:cs="Arial"/>
          <w:szCs w:val="24"/>
        </w:rPr>
        <w:t xml:space="preserve">evenly between the Uncompensated Care half of the waiver </w:t>
      </w:r>
      <w:r w:rsidR="00B70B7F" w:rsidRPr="0091590F">
        <w:rPr>
          <w:rFonts w:ascii="Calibri" w:hAnsi="Calibri" w:cs="Arial"/>
          <w:szCs w:val="24"/>
        </w:rPr>
        <w:t>and</w:t>
      </w:r>
      <w:r w:rsidRPr="0091590F">
        <w:rPr>
          <w:rFonts w:ascii="Calibri" w:hAnsi="Calibri" w:cs="Arial"/>
          <w:szCs w:val="24"/>
        </w:rPr>
        <w:t xml:space="preserve"> Delivery System Reform Incentive Payment projects. </w:t>
      </w:r>
    </w:p>
    <w:p w:rsidR="0061321D" w:rsidRPr="0091590F" w:rsidRDefault="00B70B7F" w:rsidP="00452935">
      <w:pPr>
        <w:spacing w:after="120" w:line="264" w:lineRule="auto"/>
        <w:rPr>
          <w:rFonts w:ascii="Calibri" w:hAnsi="Calibri" w:cs="Arial"/>
          <w:szCs w:val="24"/>
        </w:rPr>
      </w:pPr>
      <w:r w:rsidRPr="0091590F">
        <w:rPr>
          <w:rFonts w:ascii="Calibri" w:hAnsi="Calibri" w:cs="Arial"/>
          <w:szCs w:val="24"/>
        </w:rPr>
        <w:t>CPPP understands that Texas’</w:t>
      </w:r>
      <w:r w:rsidR="0061321D" w:rsidRPr="0091590F">
        <w:rPr>
          <w:rFonts w:ascii="Calibri" w:hAnsi="Calibri" w:cs="Arial"/>
          <w:szCs w:val="24"/>
        </w:rPr>
        <w:t xml:space="preserve"> waiver was designed to be temporary, serving to build the capability to care for more Texans after Medicaid expansion and affordable private insurance coverage started in 2014.  Texas applied and the federal government approved the waiver before the Supreme Court ruling of 2012 made it possible for Texas to not cover parents and other adults in Medicaid.  Both Texas and federal Medicaid officials assumed </w:t>
      </w:r>
      <w:r w:rsidRPr="0091590F">
        <w:rPr>
          <w:rFonts w:ascii="Calibri" w:hAnsi="Calibri" w:cs="Arial"/>
          <w:szCs w:val="24"/>
        </w:rPr>
        <w:t xml:space="preserve">at the time of approval </w:t>
      </w:r>
      <w:r w:rsidR="0061321D" w:rsidRPr="0091590F">
        <w:rPr>
          <w:rFonts w:ascii="Calibri" w:hAnsi="Calibri" w:cs="Arial"/>
          <w:szCs w:val="24"/>
        </w:rPr>
        <w:t>that the waiver would help Texas prepare for having millions of uninsured gain coverage, both through Medicaid and through the private Marketplace.</w:t>
      </w:r>
    </w:p>
    <w:p w:rsidR="00E81AD7" w:rsidRDefault="0061321D" w:rsidP="00CA0A7C">
      <w:pPr>
        <w:spacing w:after="120" w:line="264" w:lineRule="auto"/>
        <w:rPr>
          <w:rFonts w:ascii="Calibri" w:hAnsi="Calibri" w:cs="Arial"/>
          <w:szCs w:val="24"/>
        </w:rPr>
      </w:pPr>
      <w:r w:rsidRPr="0091590F">
        <w:rPr>
          <w:rFonts w:ascii="Calibri" w:hAnsi="Calibri" w:cs="Arial"/>
          <w:szCs w:val="24"/>
        </w:rPr>
        <w:t xml:space="preserve">In 2015, federal </w:t>
      </w:r>
      <w:r w:rsidR="00B70B7F" w:rsidRPr="0091590F">
        <w:rPr>
          <w:rFonts w:ascii="Calibri" w:hAnsi="Calibri" w:cs="Arial"/>
          <w:szCs w:val="24"/>
        </w:rPr>
        <w:t xml:space="preserve">Medicaid officials </w:t>
      </w:r>
      <w:r w:rsidRPr="0091590F">
        <w:rPr>
          <w:rFonts w:ascii="Calibri" w:hAnsi="Calibri" w:cs="Arial"/>
          <w:szCs w:val="24"/>
        </w:rPr>
        <w:t xml:space="preserve">announced </w:t>
      </w:r>
      <w:r w:rsidR="00F61003">
        <w:rPr>
          <w:rFonts w:ascii="Calibri" w:hAnsi="Calibri" w:cs="Arial"/>
          <w:szCs w:val="24"/>
        </w:rPr>
        <w:t xml:space="preserve">new principles </w:t>
      </w:r>
      <w:r w:rsidR="00E72C29">
        <w:rPr>
          <w:rFonts w:ascii="Calibri" w:hAnsi="Calibri" w:cs="Arial"/>
          <w:szCs w:val="24"/>
        </w:rPr>
        <w:t xml:space="preserve">that the </w:t>
      </w:r>
      <w:r w:rsidR="00E72C29" w:rsidRPr="00E72C29">
        <w:rPr>
          <w:rFonts w:ascii="Calibri" w:hAnsi="Calibri" w:cs="Arial"/>
          <w:szCs w:val="24"/>
        </w:rPr>
        <w:t xml:space="preserve">Centers for Medicare and Medicaid Services </w:t>
      </w:r>
      <w:r w:rsidR="00E72C29">
        <w:rPr>
          <w:rFonts w:ascii="Calibri" w:hAnsi="Calibri" w:cs="Arial"/>
          <w:szCs w:val="24"/>
        </w:rPr>
        <w:t>(</w:t>
      </w:r>
      <w:r w:rsidR="00CA0A7C" w:rsidRPr="00CA0A7C">
        <w:rPr>
          <w:rFonts w:ascii="Calibri" w:hAnsi="Calibri" w:cs="Arial"/>
          <w:szCs w:val="24"/>
        </w:rPr>
        <w:t>CMS</w:t>
      </w:r>
      <w:r w:rsidR="00E72C29">
        <w:rPr>
          <w:rFonts w:ascii="Calibri" w:hAnsi="Calibri" w:cs="Arial"/>
          <w:szCs w:val="24"/>
        </w:rPr>
        <w:t>)</w:t>
      </w:r>
      <w:r w:rsidR="00CA0A7C" w:rsidRPr="00CA0A7C">
        <w:rPr>
          <w:rFonts w:ascii="Calibri" w:hAnsi="Calibri" w:cs="Arial"/>
          <w:szCs w:val="24"/>
        </w:rPr>
        <w:t xml:space="preserve"> intends to apply to</w:t>
      </w:r>
      <w:r w:rsidR="00CA0A7C">
        <w:rPr>
          <w:rFonts w:ascii="Calibri" w:hAnsi="Calibri" w:cs="Arial"/>
          <w:szCs w:val="24"/>
        </w:rPr>
        <w:t xml:space="preserve"> </w:t>
      </w:r>
      <w:r w:rsidR="00F61003">
        <w:rPr>
          <w:rFonts w:ascii="Calibri" w:hAnsi="Calibri" w:cs="Arial"/>
          <w:szCs w:val="24"/>
        </w:rPr>
        <w:t>fu</w:t>
      </w:r>
      <w:r w:rsidR="00F61003" w:rsidRPr="0091590F">
        <w:rPr>
          <w:rFonts w:ascii="Calibri" w:hAnsi="Calibri" w:cs="Arial"/>
          <w:szCs w:val="24"/>
        </w:rPr>
        <w:t>ture (or renewed) Medicaid Uncompensated Care</w:t>
      </w:r>
      <w:r w:rsidR="00F61003" w:rsidRPr="00CA0A7C">
        <w:rPr>
          <w:rFonts w:ascii="Calibri" w:hAnsi="Calibri" w:cs="Arial"/>
          <w:szCs w:val="24"/>
        </w:rPr>
        <w:t xml:space="preserve"> </w:t>
      </w:r>
      <w:r w:rsidR="00CA0A7C" w:rsidRPr="00CA0A7C">
        <w:rPr>
          <w:rFonts w:ascii="Calibri" w:hAnsi="Calibri" w:cs="Arial"/>
          <w:szCs w:val="24"/>
        </w:rPr>
        <w:t>pools in all states</w:t>
      </w:r>
      <w:r w:rsidR="00E72C29">
        <w:rPr>
          <w:rFonts w:ascii="Calibri" w:hAnsi="Calibri" w:cs="Arial"/>
          <w:szCs w:val="24"/>
        </w:rPr>
        <w:t xml:space="preserve">.  </w:t>
      </w:r>
      <w:r w:rsidR="00BF12D1" w:rsidRPr="0091590F">
        <w:rPr>
          <w:rFonts w:ascii="Calibri" w:hAnsi="Calibri" w:cs="Arial"/>
          <w:szCs w:val="24"/>
        </w:rPr>
        <w:t xml:space="preserve">May 2015 CMS correspondence states “uncompensated care pool funding should not pay for costs that would be </w:t>
      </w:r>
      <w:r w:rsidR="002D2408">
        <w:rPr>
          <w:rFonts w:ascii="Calibri" w:hAnsi="Calibri" w:cs="Arial"/>
          <w:szCs w:val="24"/>
        </w:rPr>
        <w:t>covered in a Medicaid expansion</w:t>
      </w:r>
      <w:r w:rsidR="00BF12D1" w:rsidRPr="0091590F">
        <w:rPr>
          <w:rFonts w:ascii="Calibri" w:hAnsi="Calibri" w:cs="Arial"/>
          <w:szCs w:val="24"/>
        </w:rPr>
        <w:t>”</w:t>
      </w:r>
      <w:r w:rsidR="002D2408">
        <w:rPr>
          <w:rFonts w:ascii="Calibri" w:hAnsi="Calibri" w:cs="Arial"/>
          <w:szCs w:val="24"/>
        </w:rPr>
        <w:t xml:space="preserve"> (</w:t>
      </w:r>
      <w:r w:rsidR="002D2408" w:rsidRPr="0091590F">
        <w:rPr>
          <w:rFonts w:ascii="Calibri" w:hAnsi="Calibri" w:cs="Arial"/>
          <w:szCs w:val="24"/>
        </w:rPr>
        <w:t>either through traditional Medicaid Expansion or an 1115 coverage waiver</w:t>
      </w:r>
      <w:r w:rsidR="002D2408">
        <w:rPr>
          <w:rFonts w:ascii="Calibri" w:hAnsi="Calibri" w:cs="Arial"/>
          <w:szCs w:val="24"/>
        </w:rPr>
        <w:t>).</w:t>
      </w:r>
      <w:r w:rsidR="00BF12D1" w:rsidRPr="0091590F">
        <w:rPr>
          <w:rFonts w:ascii="Calibri" w:hAnsi="Calibri" w:cs="Arial"/>
          <w:szCs w:val="24"/>
        </w:rPr>
        <w:t xml:space="preserve">  Two other principles </w:t>
      </w:r>
      <w:r w:rsidR="00BF12D1" w:rsidRPr="0091590F">
        <w:rPr>
          <w:rFonts w:ascii="Calibri" w:hAnsi="Calibri" w:cs="Arial"/>
          <w:szCs w:val="24"/>
        </w:rPr>
        <w:lastRenderedPageBreak/>
        <w:t>articulated in that correspondence also have implications for Texas waiver extension request</w:t>
      </w:r>
      <w:r w:rsidR="00643125" w:rsidRPr="0091590F">
        <w:rPr>
          <w:rFonts w:ascii="Calibri" w:hAnsi="Calibri" w:cs="Arial"/>
          <w:szCs w:val="24"/>
        </w:rPr>
        <w:t xml:space="preserve">: “that Medicaid payments should support services provided to Medicaid beneficiaries and low-income uninsured individuals; and that provider payment rates must be sufficient to promote provider participation and access, and should support plans in managing and coordinating care.”  </w:t>
      </w:r>
    </w:p>
    <w:p w:rsidR="0061321D" w:rsidRPr="0091590F" w:rsidRDefault="00643125" w:rsidP="00CA0A7C">
      <w:pPr>
        <w:spacing w:after="120" w:line="264" w:lineRule="auto"/>
        <w:rPr>
          <w:rFonts w:ascii="Calibri" w:hAnsi="Calibri" w:cs="Arial"/>
          <w:szCs w:val="24"/>
        </w:rPr>
      </w:pPr>
      <w:r w:rsidRPr="0091590F">
        <w:rPr>
          <w:rFonts w:ascii="Calibri" w:hAnsi="Calibri" w:cs="Arial"/>
          <w:szCs w:val="24"/>
        </w:rPr>
        <w:t xml:space="preserve">In addition to noting the important community and consumer benefits Texas’ 1115 </w:t>
      </w:r>
      <w:r w:rsidR="00C24797">
        <w:rPr>
          <w:rFonts w:ascii="Calibri" w:hAnsi="Calibri" w:cs="Arial"/>
          <w:szCs w:val="24"/>
        </w:rPr>
        <w:t xml:space="preserve">waiver </w:t>
      </w:r>
      <w:r w:rsidRPr="0091590F">
        <w:rPr>
          <w:rFonts w:ascii="Calibri" w:hAnsi="Calibri" w:cs="Arial"/>
          <w:szCs w:val="24"/>
        </w:rPr>
        <w:t xml:space="preserve">has provided, our comments also point out issues related to these principles as the Secretary and CMS consider </w:t>
      </w:r>
      <w:r w:rsidR="00F9138F" w:rsidRPr="0091590F">
        <w:rPr>
          <w:rFonts w:ascii="Calibri" w:hAnsi="Calibri" w:cs="Arial"/>
          <w:szCs w:val="24"/>
        </w:rPr>
        <w:t xml:space="preserve">the extension request. </w:t>
      </w:r>
    </w:p>
    <w:p w:rsidR="00ED3384" w:rsidRPr="0091590F" w:rsidRDefault="0019746D" w:rsidP="00643125">
      <w:pPr>
        <w:spacing w:after="120" w:line="264" w:lineRule="auto"/>
        <w:rPr>
          <w:rFonts w:ascii="Calibri" w:hAnsi="Calibri" w:cs="Arial"/>
          <w:b/>
          <w:szCs w:val="24"/>
          <w:u w:val="single"/>
        </w:rPr>
      </w:pPr>
      <w:r>
        <w:rPr>
          <w:rFonts w:ascii="Calibri" w:hAnsi="Calibri" w:cs="Arial"/>
          <w:b/>
          <w:szCs w:val="24"/>
          <w:u w:val="single"/>
        </w:rPr>
        <w:t xml:space="preserve">General </w:t>
      </w:r>
      <w:r w:rsidR="00ED3384" w:rsidRPr="0091590F">
        <w:rPr>
          <w:rFonts w:ascii="Calibri" w:hAnsi="Calibri" w:cs="Arial"/>
          <w:b/>
          <w:szCs w:val="24"/>
          <w:u w:val="single"/>
        </w:rPr>
        <w:t>Waiver Extension Comments</w:t>
      </w:r>
    </w:p>
    <w:p w:rsidR="00502B09" w:rsidRPr="00502B09" w:rsidRDefault="00502B09" w:rsidP="00502B09">
      <w:pPr>
        <w:pStyle w:val="ListParagraph"/>
        <w:spacing w:after="120" w:line="264" w:lineRule="auto"/>
        <w:ind w:left="0"/>
        <w:rPr>
          <w:sz w:val="24"/>
          <w:szCs w:val="24"/>
        </w:rPr>
      </w:pPr>
      <w:r>
        <w:rPr>
          <w:sz w:val="24"/>
          <w:szCs w:val="24"/>
        </w:rPr>
        <w:t xml:space="preserve">CPPP </w:t>
      </w:r>
      <w:r w:rsidRPr="00502B09">
        <w:rPr>
          <w:sz w:val="24"/>
          <w:szCs w:val="24"/>
        </w:rPr>
        <w:t>strongly support</w:t>
      </w:r>
      <w:r>
        <w:rPr>
          <w:sz w:val="24"/>
          <w:szCs w:val="24"/>
        </w:rPr>
        <w:t>s</w:t>
      </w:r>
      <w:r w:rsidRPr="00502B09">
        <w:rPr>
          <w:sz w:val="24"/>
          <w:szCs w:val="24"/>
        </w:rPr>
        <w:t xml:space="preserve"> waiver extension or renewal, but we sto</w:t>
      </w:r>
      <w:r w:rsidR="00923F1E">
        <w:rPr>
          <w:sz w:val="24"/>
          <w:szCs w:val="24"/>
        </w:rPr>
        <w:t xml:space="preserve"> </w:t>
      </w:r>
      <w:r w:rsidRPr="00502B09">
        <w:rPr>
          <w:sz w:val="24"/>
          <w:szCs w:val="24"/>
        </w:rPr>
        <w:t>p short of recommending simply a</w:t>
      </w:r>
      <w:r>
        <w:rPr>
          <w:sz w:val="24"/>
          <w:szCs w:val="24"/>
        </w:rPr>
        <w:t>pproving the full Texas Health and Human Services Commission (HHSC) request.</w:t>
      </w:r>
    </w:p>
    <w:p w:rsidR="0061321D" w:rsidRPr="0091590F" w:rsidRDefault="00502B09" w:rsidP="00502B09">
      <w:pPr>
        <w:pStyle w:val="ListParagraph"/>
        <w:spacing w:after="120" w:line="264" w:lineRule="auto"/>
        <w:ind w:left="0"/>
        <w:rPr>
          <w:sz w:val="24"/>
          <w:szCs w:val="24"/>
        </w:rPr>
      </w:pPr>
      <w:r w:rsidRPr="00502B09">
        <w:rPr>
          <w:sz w:val="24"/>
          <w:szCs w:val="24"/>
        </w:rPr>
        <w:t>We strongly support the continued operations and funding of the Delivery System Reform Incentive Payment (DSRIP) projects</w:t>
      </w:r>
      <w:r>
        <w:rPr>
          <w:sz w:val="24"/>
          <w:szCs w:val="24"/>
        </w:rPr>
        <w:t xml:space="preserve">, which </w:t>
      </w:r>
      <w:r w:rsidR="0061321D" w:rsidRPr="0091590F">
        <w:rPr>
          <w:sz w:val="24"/>
          <w:szCs w:val="24"/>
        </w:rPr>
        <w:t xml:space="preserve">have brought important and beneficial new capacity </w:t>
      </w:r>
      <w:r w:rsidR="007B7EB2">
        <w:rPr>
          <w:sz w:val="24"/>
          <w:szCs w:val="24"/>
        </w:rPr>
        <w:t xml:space="preserve">and tested new care </w:t>
      </w:r>
      <w:r>
        <w:rPr>
          <w:sz w:val="24"/>
          <w:szCs w:val="24"/>
        </w:rPr>
        <w:t>deliver</w:t>
      </w:r>
      <w:r w:rsidR="007B7EB2">
        <w:rPr>
          <w:sz w:val="24"/>
          <w:szCs w:val="24"/>
        </w:rPr>
        <w:t>y models</w:t>
      </w:r>
      <w:r>
        <w:rPr>
          <w:sz w:val="24"/>
          <w:szCs w:val="24"/>
        </w:rPr>
        <w:t>.  In particula</w:t>
      </w:r>
      <w:r w:rsidR="007B7EB2">
        <w:rPr>
          <w:sz w:val="24"/>
          <w:szCs w:val="24"/>
        </w:rPr>
        <w:t xml:space="preserve">r, DSRIP projects have enhanced </w:t>
      </w:r>
      <w:r w:rsidR="007B7EB2" w:rsidRPr="0091590F">
        <w:rPr>
          <w:sz w:val="24"/>
          <w:szCs w:val="24"/>
        </w:rPr>
        <w:t xml:space="preserve">behavioral health services </w:t>
      </w:r>
      <w:r w:rsidR="007B7EB2">
        <w:rPr>
          <w:sz w:val="24"/>
          <w:szCs w:val="24"/>
        </w:rPr>
        <w:t xml:space="preserve">delivery </w:t>
      </w:r>
      <w:r>
        <w:rPr>
          <w:sz w:val="24"/>
          <w:szCs w:val="24"/>
        </w:rPr>
        <w:t xml:space="preserve">capacity </w:t>
      </w:r>
      <w:r w:rsidR="007B7EB2">
        <w:rPr>
          <w:sz w:val="24"/>
          <w:szCs w:val="24"/>
        </w:rPr>
        <w:t>in</w:t>
      </w:r>
      <w:r w:rsidR="0061321D" w:rsidRPr="0091590F">
        <w:rPr>
          <w:sz w:val="24"/>
          <w:szCs w:val="24"/>
        </w:rPr>
        <w:t xml:space="preserve"> Texas communities</w:t>
      </w:r>
      <w:r w:rsidR="007B7EB2">
        <w:rPr>
          <w:sz w:val="24"/>
          <w:szCs w:val="24"/>
        </w:rPr>
        <w:t xml:space="preserve">.  Clearly, </w:t>
      </w:r>
      <w:r w:rsidR="00F204AF">
        <w:rPr>
          <w:sz w:val="24"/>
          <w:szCs w:val="24"/>
        </w:rPr>
        <w:t xml:space="preserve">this new </w:t>
      </w:r>
      <w:r w:rsidR="007B7EB2">
        <w:rPr>
          <w:sz w:val="24"/>
          <w:szCs w:val="24"/>
        </w:rPr>
        <w:t xml:space="preserve">capacity and access to mental health and substance abuse care would be </w:t>
      </w:r>
      <w:r w:rsidR="00F204AF">
        <w:rPr>
          <w:sz w:val="24"/>
          <w:szCs w:val="24"/>
        </w:rPr>
        <w:t>further enhanced (</w:t>
      </w:r>
      <w:r w:rsidR="0028241D">
        <w:rPr>
          <w:sz w:val="24"/>
          <w:szCs w:val="24"/>
        </w:rPr>
        <w:t xml:space="preserve">i.e., </w:t>
      </w:r>
      <w:r w:rsidR="00F204AF">
        <w:rPr>
          <w:sz w:val="24"/>
          <w:szCs w:val="24"/>
        </w:rPr>
        <w:t xml:space="preserve">to an equal or </w:t>
      </w:r>
      <w:r w:rsidR="002D2408">
        <w:rPr>
          <w:sz w:val="24"/>
          <w:szCs w:val="24"/>
        </w:rPr>
        <w:t xml:space="preserve">even </w:t>
      </w:r>
      <w:r w:rsidR="00F204AF">
        <w:rPr>
          <w:sz w:val="24"/>
          <w:szCs w:val="24"/>
        </w:rPr>
        <w:t>greater degree) if our state would couple the e</w:t>
      </w:r>
      <w:r w:rsidR="008A2D3C">
        <w:rPr>
          <w:sz w:val="24"/>
          <w:szCs w:val="24"/>
        </w:rPr>
        <w:t>nhanced behavioral health</w:t>
      </w:r>
      <w:r w:rsidR="00F204AF">
        <w:rPr>
          <w:sz w:val="24"/>
          <w:szCs w:val="24"/>
        </w:rPr>
        <w:t xml:space="preserve"> service delivery capacity </w:t>
      </w:r>
      <w:r w:rsidR="002D2408">
        <w:rPr>
          <w:sz w:val="24"/>
          <w:szCs w:val="24"/>
        </w:rPr>
        <w:t xml:space="preserve">created with DSRIP funds, </w:t>
      </w:r>
      <w:r w:rsidR="00F204AF">
        <w:rPr>
          <w:sz w:val="24"/>
          <w:szCs w:val="24"/>
        </w:rPr>
        <w:t xml:space="preserve">with comprehensive health coverage for adults.  </w:t>
      </w:r>
    </w:p>
    <w:p w:rsidR="00D361DE" w:rsidRDefault="00F204AF" w:rsidP="00202ECE">
      <w:pPr>
        <w:pStyle w:val="ListParagraph"/>
        <w:spacing w:after="120" w:line="264" w:lineRule="auto"/>
        <w:ind w:left="0"/>
        <w:rPr>
          <w:sz w:val="24"/>
          <w:szCs w:val="24"/>
        </w:rPr>
      </w:pPr>
      <w:r>
        <w:rPr>
          <w:sz w:val="24"/>
          <w:szCs w:val="24"/>
        </w:rPr>
        <w:t xml:space="preserve">CPPP </w:t>
      </w:r>
      <w:r w:rsidR="0061321D" w:rsidRPr="0091590F">
        <w:rPr>
          <w:sz w:val="24"/>
          <w:szCs w:val="24"/>
        </w:rPr>
        <w:t>also support</w:t>
      </w:r>
      <w:r w:rsidR="00923F1E">
        <w:rPr>
          <w:sz w:val="24"/>
          <w:szCs w:val="24"/>
        </w:rPr>
        <w:t>s</w:t>
      </w:r>
      <w:r w:rsidR="0061321D" w:rsidRPr="0091590F">
        <w:rPr>
          <w:sz w:val="24"/>
          <w:szCs w:val="24"/>
        </w:rPr>
        <w:t xml:space="preserve"> CMS’ goal to incorporate successful DSRIP findings and practices into statewide Texas Medicaid Managed Care contracts and payment structures to the greatest degree possible.   The</w:t>
      </w:r>
      <w:r w:rsidR="00202ECE">
        <w:rPr>
          <w:sz w:val="24"/>
          <w:szCs w:val="24"/>
        </w:rPr>
        <w:t>se</w:t>
      </w:r>
      <w:r w:rsidR="0061321D" w:rsidRPr="0091590F">
        <w:rPr>
          <w:sz w:val="24"/>
          <w:szCs w:val="24"/>
        </w:rPr>
        <w:t xml:space="preserve"> innovations should be made avai</w:t>
      </w:r>
      <w:r w:rsidR="00202ECE">
        <w:rPr>
          <w:sz w:val="24"/>
          <w:szCs w:val="24"/>
        </w:rPr>
        <w:t>lable to all Medicaid enrollees, and not limited to pockets of local innova</w:t>
      </w:r>
      <w:r w:rsidR="00202ECE">
        <w:rPr>
          <w:sz w:val="24"/>
          <w:szCs w:val="24"/>
        </w:rPr>
        <w:lastRenderedPageBreak/>
        <w:t xml:space="preserve">tion.  While supporting ongoing DSRIP operations and funding at DY 2016 levels, we understand that </w:t>
      </w:r>
      <w:r w:rsidR="0061321D" w:rsidRPr="0091590F">
        <w:rPr>
          <w:sz w:val="24"/>
          <w:szCs w:val="24"/>
        </w:rPr>
        <w:t xml:space="preserve">streamlining of the unwieldy complex of </w:t>
      </w:r>
      <w:r w:rsidR="004112BD">
        <w:rPr>
          <w:sz w:val="24"/>
          <w:szCs w:val="24"/>
        </w:rPr>
        <w:t xml:space="preserve">over 1,400 </w:t>
      </w:r>
      <w:r w:rsidR="0061321D" w:rsidRPr="0091590F">
        <w:rPr>
          <w:sz w:val="24"/>
          <w:szCs w:val="24"/>
        </w:rPr>
        <w:t xml:space="preserve">DSRIP projects may be necessary to </w:t>
      </w:r>
      <w:r w:rsidR="00D361DE">
        <w:rPr>
          <w:sz w:val="24"/>
          <w:szCs w:val="24"/>
        </w:rPr>
        <w:t xml:space="preserve">make </w:t>
      </w:r>
      <w:r w:rsidR="0061321D" w:rsidRPr="0091590F">
        <w:rPr>
          <w:sz w:val="24"/>
          <w:szCs w:val="24"/>
        </w:rPr>
        <w:t xml:space="preserve">meaningful </w:t>
      </w:r>
      <w:r w:rsidR="00D22F34">
        <w:rPr>
          <w:sz w:val="24"/>
          <w:szCs w:val="24"/>
        </w:rPr>
        <w:t xml:space="preserve">transparency, </w:t>
      </w:r>
      <w:r w:rsidR="0061321D" w:rsidRPr="0091590F">
        <w:rPr>
          <w:sz w:val="24"/>
          <w:szCs w:val="24"/>
        </w:rPr>
        <w:t>evaluation</w:t>
      </w:r>
      <w:r w:rsidR="00D22F34">
        <w:rPr>
          <w:sz w:val="24"/>
          <w:szCs w:val="24"/>
        </w:rPr>
        <w:t>,</w:t>
      </w:r>
      <w:r w:rsidR="0061321D" w:rsidRPr="0091590F">
        <w:rPr>
          <w:sz w:val="24"/>
          <w:szCs w:val="24"/>
        </w:rPr>
        <w:t xml:space="preserve"> and accountability</w:t>
      </w:r>
      <w:r w:rsidR="00D361DE">
        <w:rPr>
          <w:sz w:val="24"/>
          <w:szCs w:val="24"/>
        </w:rPr>
        <w:t xml:space="preserve"> possible</w:t>
      </w:r>
      <w:r w:rsidR="0061321D" w:rsidRPr="0091590F">
        <w:rPr>
          <w:sz w:val="24"/>
          <w:szCs w:val="24"/>
        </w:rPr>
        <w:t>.</w:t>
      </w:r>
      <w:r w:rsidR="009B72FA">
        <w:rPr>
          <w:sz w:val="24"/>
          <w:szCs w:val="24"/>
        </w:rPr>
        <w:t xml:space="preserve">  </w:t>
      </w:r>
    </w:p>
    <w:p w:rsidR="00E81AD7" w:rsidRDefault="00E81AD7" w:rsidP="00202ECE">
      <w:pPr>
        <w:pStyle w:val="ListParagraph"/>
        <w:spacing w:after="120" w:line="264" w:lineRule="auto"/>
        <w:ind w:left="0"/>
        <w:rPr>
          <w:sz w:val="24"/>
          <w:szCs w:val="24"/>
        </w:rPr>
      </w:pPr>
      <w:r w:rsidRPr="00E81AD7">
        <w:rPr>
          <w:sz w:val="24"/>
          <w:szCs w:val="24"/>
        </w:rPr>
        <w:t>Texas is requesting an increase in the UC pool from $3.1 billion All Funds (about $2 billion federal, $1.1 billion from local Texas government funds) in year 5 of the current waiver, to $5.8 billion in th</w:t>
      </w:r>
      <w:r w:rsidR="000771D1">
        <w:rPr>
          <w:sz w:val="24"/>
          <w:szCs w:val="24"/>
        </w:rPr>
        <w:t xml:space="preserve">e first year of the extension, </w:t>
      </w:r>
      <w:r w:rsidRPr="00E81AD7">
        <w:rPr>
          <w:sz w:val="24"/>
          <w:szCs w:val="24"/>
        </w:rPr>
        <w:t>$6.6 billion in the second, and $7.4 billion for the next three years</w:t>
      </w:r>
      <w:r w:rsidR="000771D1">
        <w:rPr>
          <w:sz w:val="24"/>
          <w:szCs w:val="24"/>
        </w:rPr>
        <w:t>,</w:t>
      </w:r>
      <w:r w:rsidRPr="00E81AD7">
        <w:rPr>
          <w:sz w:val="24"/>
          <w:szCs w:val="24"/>
        </w:rPr>
        <w:t xml:space="preserve"> for a total of $34.6 billion over five years.  </w:t>
      </w:r>
      <w:r>
        <w:rPr>
          <w:sz w:val="24"/>
          <w:szCs w:val="24"/>
        </w:rPr>
        <w:t xml:space="preserve">CPPP understands that CMS plans to employ a study of Texas costs and spending, </w:t>
      </w:r>
      <w:r w:rsidR="002D2408">
        <w:rPr>
          <w:sz w:val="24"/>
          <w:szCs w:val="24"/>
        </w:rPr>
        <w:t xml:space="preserve">similar to the study </w:t>
      </w:r>
      <w:r>
        <w:rPr>
          <w:sz w:val="24"/>
          <w:szCs w:val="24"/>
        </w:rPr>
        <w:t xml:space="preserve">used in Florida’s Low-income Pool </w:t>
      </w:r>
      <w:r w:rsidR="002D2408">
        <w:rPr>
          <w:sz w:val="24"/>
          <w:szCs w:val="24"/>
        </w:rPr>
        <w:t xml:space="preserve">renewal </w:t>
      </w:r>
      <w:r w:rsidR="008A2D3C">
        <w:rPr>
          <w:sz w:val="24"/>
          <w:szCs w:val="24"/>
        </w:rPr>
        <w:t>deliberations, to help determine the appropriate amount of a Texas UC pool continuation</w:t>
      </w:r>
      <w:r w:rsidR="0028241D">
        <w:rPr>
          <w:sz w:val="24"/>
          <w:szCs w:val="24"/>
        </w:rPr>
        <w:t xml:space="preserve">.  We </w:t>
      </w:r>
      <w:r w:rsidR="002D2408">
        <w:rPr>
          <w:sz w:val="24"/>
          <w:szCs w:val="24"/>
        </w:rPr>
        <w:t xml:space="preserve">do not pretend </w:t>
      </w:r>
      <w:r w:rsidR="000771D1">
        <w:rPr>
          <w:sz w:val="24"/>
          <w:szCs w:val="24"/>
        </w:rPr>
        <w:t xml:space="preserve">today </w:t>
      </w:r>
      <w:r w:rsidR="00BC2271">
        <w:rPr>
          <w:sz w:val="24"/>
          <w:szCs w:val="24"/>
        </w:rPr>
        <w:t xml:space="preserve">to know </w:t>
      </w:r>
      <w:r w:rsidR="0028241D">
        <w:rPr>
          <w:sz w:val="24"/>
          <w:szCs w:val="24"/>
        </w:rPr>
        <w:t xml:space="preserve">what the </w:t>
      </w:r>
      <w:r w:rsidR="008A2D3C" w:rsidRPr="008A2D3C">
        <w:rPr>
          <w:sz w:val="24"/>
          <w:szCs w:val="24"/>
        </w:rPr>
        <w:t xml:space="preserve">“right” final amount is for Texas’ UC pool in a waiver extension or renewal, but we agree with CMS that </w:t>
      </w:r>
      <w:r w:rsidR="0028241D">
        <w:rPr>
          <w:sz w:val="24"/>
          <w:szCs w:val="24"/>
        </w:rPr>
        <w:t>comprehensive</w:t>
      </w:r>
      <w:r w:rsidR="008A2D3C" w:rsidRPr="008A2D3C">
        <w:rPr>
          <w:sz w:val="24"/>
          <w:szCs w:val="24"/>
        </w:rPr>
        <w:t xml:space="preserve"> coverage is a far more effective way to improve the health of Texans than waiting till Texans go to the E</w:t>
      </w:r>
      <w:r w:rsidR="00BC2271">
        <w:rPr>
          <w:sz w:val="24"/>
          <w:szCs w:val="24"/>
        </w:rPr>
        <w:t xml:space="preserve">mergency </w:t>
      </w:r>
      <w:r w:rsidR="008A2D3C" w:rsidRPr="008A2D3C">
        <w:rPr>
          <w:sz w:val="24"/>
          <w:szCs w:val="24"/>
        </w:rPr>
        <w:t>R</w:t>
      </w:r>
      <w:r w:rsidR="00BC2271">
        <w:rPr>
          <w:sz w:val="24"/>
          <w:szCs w:val="24"/>
        </w:rPr>
        <w:t>oom</w:t>
      </w:r>
      <w:r w:rsidR="008A2D3C" w:rsidRPr="008A2D3C">
        <w:rPr>
          <w:sz w:val="24"/>
          <w:szCs w:val="24"/>
        </w:rPr>
        <w:t xml:space="preserve"> or are hospitalized, and paying hospitals for that care after the fact.</w:t>
      </w:r>
    </w:p>
    <w:p w:rsidR="006819A1" w:rsidRPr="006819A1" w:rsidRDefault="006819A1" w:rsidP="00202ECE">
      <w:pPr>
        <w:pStyle w:val="ListParagraph"/>
        <w:spacing w:after="120" w:line="264" w:lineRule="auto"/>
        <w:ind w:left="0"/>
        <w:rPr>
          <w:b/>
          <w:sz w:val="24"/>
          <w:szCs w:val="24"/>
          <w:u w:val="single"/>
        </w:rPr>
      </w:pPr>
      <w:r w:rsidRPr="006819A1">
        <w:rPr>
          <w:b/>
          <w:sz w:val="24"/>
          <w:szCs w:val="24"/>
          <w:u w:val="single"/>
        </w:rPr>
        <w:t>Method</w:t>
      </w:r>
      <w:r w:rsidR="0019746D" w:rsidRPr="0019746D">
        <w:rPr>
          <w:b/>
          <w:sz w:val="24"/>
          <w:szCs w:val="24"/>
          <w:u w:val="single"/>
        </w:rPr>
        <w:t xml:space="preserve"> </w:t>
      </w:r>
      <w:r w:rsidR="0019746D" w:rsidRPr="006819A1">
        <w:rPr>
          <w:b/>
          <w:sz w:val="24"/>
          <w:szCs w:val="24"/>
          <w:u w:val="single"/>
        </w:rPr>
        <w:t xml:space="preserve">of Finance </w:t>
      </w:r>
      <w:r w:rsidRPr="006819A1">
        <w:rPr>
          <w:b/>
          <w:sz w:val="24"/>
          <w:szCs w:val="24"/>
          <w:u w:val="single"/>
        </w:rPr>
        <w:t xml:space="preserve">and Distribution </w:t>
      </w:r>
      <w:r w:rsidR="0019746D">
        <w:rPr>
          <w:b/>
          <w:sz w:val="24"/>
          <w:szCs w:val="24"/>
          <w:u w:val="single"/>
        </w:rPr>
        <w:t>Issues</w:t>
      </w:r>
    </w:p>
    <w:p w:rsidR="00F12627" w:rsidRDefault="004112BD" w:rsidP="00202ECE">
      <w:pPr>
        <w:pStyle w:val="ListParagraph"/>
        <w:spacing w:after="120" w:line="264" w:lineRule="auto"/>
        <w:ind w:left="0"/>
        <w:rPr>
          <w:sz w:val="24"/>
          <w:szCs w:val="24"/>
        </w:rPr>
      </w:pPr>
      <w:r>
        <w:rPr>
          <w:sz w:val="24"/>
          <w:szCs w:val="24"/>
        </w:rPr>
        <w:t xml:space="preserve">Many of the most challenging issues related to Texas’ waiver renewal request are related to a </w:t>
      </w:r>
      <w:r w:rsidR="004D2391">
        <w:rPr>
          <w:sz w:val="24"/>
          <w:szCs w:val="24"/>
        </w:rPr>
        <w:t>subject</w:t>
      </w:r>
      <w:r>
        <w:rPr>
          <w:sz w:val="24"/>
          <w:szCs w:val="24"/>
        </w:rPr>
        <w:t xml:space="preserve"> that has received considerable attention from federal Medicaid officials and Congress for </w:t>
      </w:r>
      <w:r w:rsidR="00F16BB6">
        <w:rPr>
          <w:sz w:val="24"/>
          <w:szCs w:val="24"/>
        </w:rPr>
        <w:t xml:space="preserve">a quarter century: the reluctance of state governments to </w:t>
      </w:r>
      <w:r w:rsidR="000771D1">
        <w:rPr>
          <w:sz w:val="24"/>
          <w:szCs w:val="24"/>
        </w:rPr>
        <w:t xml:space="preserve">adequately </w:t>
      </w:r>
      <w:r w:rsidR="00F16BB6">
        <w:rPr>
          <w:sz w:val="24"/>
          <w:szCs w:val="24"/>
        </w:rPr>
        <w:t xml:space="preserve">fund Medicaid program operations, and the consequent incentives for other stakeholders to seek alternative mechanisms to increase the non-federal funding available to state Medicaid programs, through provider taxes, donations, and intergovernmental transfers (IGT).  </w:t>
      </w:r>
      <w:r w:rsidR="0050697E">
        <w:rPr>
          <w:sz w:val="24"/>
          <w:szCs w:val="24"/>
        </w:rPr>
        <w:t>Texas’ waiver sought to convert a growing Upper Payment Limit (UPL) program into an Uncompensated Care p</w:t>
      </w:r>
      <w:r w:rsidR="00B201EA">
        <w:rPr>
          <w:sz w:val="24"/>
          <w:szCs w:val="24"/>
        </w:rPr>
        <w:t xml:space="preserve">ool </w:t>
      </w:r>
      <w:r w:rsidR="0050697E">
        <w:rPr>
          <w:sz w:val="24"/>
          <w:szCs w:val="24"/>
        </w:rPr>
        <w:t xml:space="preserve">with greater transparency and accountability </w:t>
      </w:r>
      <w:r w:rsidR="0050697E">
        <w:rPr>
          <w:sz w:val="24"/>
          <w:szCs w:val="24"/>
        </w:rPr>
        <w:lastRenderedPageBreak/>
        <w:t xml:space="preserve">than its UPL predecessor, </w:t>
      </w:r>
      <w:r w:rsidR="00B201EA">
        <w:rPr>
          <w:sz w:val="24"/>
          <w:szCs w:val="24"/>
        </w:rPr>
        <w:t xml:space="preserve">and a DSRIP pool with multiple quality-related goals and </w:t>
      </w:r>
      <w:r w:rsidR="004D2391">
        <w:rPr>
          <w:sz w:val="24"/>
          <w:szCs w:val="24"/>
        </w:rPr>
        <w:t xml:space="preserve">the </w:t>
      </w:r>
      <w:r w:rsidR="00B201EA">
        <w:rPr>
          <w:sz w:val="24"/>
          <w:szCs w:val="24"/>
        </w:rPr>
        <w:t xml:space="preserve">intention to build infrastructure to serve the newly insured.  </w:t>
      </w:r>
    </w:p>
    <w:p w:rsidR="00D22F34" w:rsidRDefault="004D2391" w:rsidP="003173E4">
      <w:pPr>
        <w:pStyle w:val="ListParagraph"/>
        <w:spacing w:after="120" w:line="264" w:lineRule="auto"/>
        <w:ind w:left="0"/>
        <w:rPr>
          <w:sz w:val="24"/>
          <w:szCs w:val="24"/>
        </w:rPr>
      </w:pPr>
      <w:r>
        <w:rPr>
          <w:sz w:val="24"/>
          <w:szCs w:val="24"/>
        </w:rPr>
        <w:t>In many respects, Texas</w:t>
      </w:r>
      <w:r w:rsidR="00BC2271">
        <w:rPr>
          <w:sz w:val="24"/>
          <w:szCs w:val="24"/>
        </w:rPr>
        <w:t>’</w:t>
      </w:r>
      <w:r>
        <w:rPr>
          <w:sz w:val="24"/>
          <w:szCs w:val="24"/>
        </w:rPr>
        <w:t xml:space="preserve"> 1115 waiver has improved transparency of the portion of Texas Medicaid for which the non-federal share </w:t>
      </w:r>
      <w:r w:rsidR="00F12627">
        <w:rPr>
          <w:sz w:val="24"/>
          <w:szCs w:val="24"/>
        </w:rPr>
        <w:t>does not come from state General Revenues</w:t>
      </w:r>
      <w:r w:rsidR="00BC2271">
        <w:rPr>
          <w:sz w:val="24"/>
          <w:szCs w:val="24"/>
        </w:rPr>
        <w:t>, most particularly</w:t>
      </w:r>
      <w:r w:rsidR="003173E4" w:rsidRPr="0091590F">
        <w:rPr>
          <w:sz w:val="24"/>
          <w:szCs w:val="24"/>
        </w:rPr>
        <w:t xml:space="preserve"> Uncompensated Care funding</w:t>
      </w:r>
      <w:r w:rsidR="00F12627">
        <w:rPr>
          <w:sz w:val="24"/>
          <w:szCs w:val="24"/>
        </w:rPr>
        <w:t xml:space="preserve">.  However, the status quo in Texas Medicaid continues to feature a large </w:t>
      </w:r>
      <w:r w:rsidR="003173E4">
        <w:rPr>
          <w:sz w:val="24"/>
          <w:szCs w:val="24"/>
        </w:rPr>
        <w:t>“</w:t>
      </w:r>
      <w:r w:rsidR="00F12627">
        <w:rPr>
          <w:sz w:val="24"/>
          <w:szCs w:val="24"/>
        </w:rPr>
        <w:t>siloed</w:t>
      </w:r>
      <w:r w:rsidR="003173E4">
        <w:rPr>
          <w:sz w:val="24"/>
          <w:szCs w:val="24"/>
        </w:rPr>
        <w:t>”</w:t>
      </w:r>
      <w:r w:rsidR="00F12627">
        <w:rPr>
          <w:sz w:val="24"/>
          <w:szCs w:val="24"/>
        </w:rPr>
        <w:t xml:space="preserve"> </w:t>
      </w:r>
      <w:r w:rsidR="003173E4">
        <w:rPr>
          <w:sz w:val="24"/>
          <w:szCs w:val="24"/>
        </w:rPr>
        <w:t xml:space="preserve">component of supplemental payments supported almost entirely by local IGT, rather than the state budget.  </w:t>
      </w:r>
      <w:hyperlink r:id="rId8" w:history="1">
        <w:r w:rsidR="0061321D" w:rsidRPr="0091590F">
          <w:rPr>
            <w:rStyle w:val="Hyperlink"/>
            <w:sz w:val="24"/>
            <w:szCs w:val="24"/>
          </w:rPr>
          <w:t>Texas HHSC reports</w:t>
        </w:r>
      </w:hyperlink>
      <w:r w:rsidR="0061321D" w:rsidRPr="0091590F">
        <w:rPr>
          <w:sz w:val="24"/>
          <w:szCs w:val="24"/>
        </w:rPr>
        <w:t xml:space="preserve"> that in 2013, </w:t>
      </w:r>
      <w:r w:rsidR="0061321D" w:rsidRPr="0091590F">
        <w:rPr>
          <w:b/>
          <w:bCs/>
          <w:sz w:val="24"/>
          <w:szCs w:val="24"/>
        </w:rPr>
        <w:t>a larger share of Texas Medicaid funding went to hospital supplemental payments (19% for DSRIP and UC payments, plus another 5% for D</w:t>
      </w:r>
      <w:r w:rsidR="00946A1C">
        <w:rPr>
          <w:b/>
          <w:bCs/>
          <w:sz w:val="24"/>
          <w:szCs w:val="24"/>
        </w:rPr>
        <w:t xml:space="preserve">isproportionate </w:t>
      </w:r>
      <w:r w:rsidR="0061321D" w:rsidRPr="0091590F">
        <w:rPr>
          <w:b/>
          <w:bCs/>
          <w:sz w:val="24"/>
          <w:szCs w:val="24"/>
        </w:rPr>
        <w:t>S</w:t>
      </w:r>
      <w:r w:rsidR="00946A1C">
        <w:rPr>
          <w:b/>
          <w:bCs/>
          <w:sz w:val="24"/>
          <w:szCs w:val="24"/>
        </w:rPr>
        <w:t xml:space="preserve">hare </w:t>
      </w:r>
      <w:r w:rsidR="0061321D" w:rsidRPr="0091590F">
        <w:rPr>
          <w:b/>
          <w:bCs/>
          <w:sz w:val="24"/>
          <w:szCs w:val="24"/>
        </w:rPr>
        <w:t>H</w:t>
      </w:r>
      <w:r w:rsidR="00946A1C">
        <w:rPr>
          <w:b/>
          <w:bCs/>
          <w:sz w:val="24"/>
          <w:szCs w:val="24"/>
        </w:rPr>
        <w:t>ospital payments</w:t>
      </w:r>
      <w:r w:rsidR="0061321D" w:rsidRPr="0091590F">
        <w:rPr>
          <w:b/>
          <w:bCs/>
          <w:sz w:val="24"/>
          <w:szCs w:val="24"/>
        </w:rPr>
        <w:t>) than to direct payments for inpatient and outpatient hospital care (21%).</w:t>
      </w:r>
      <w:r w:rsidR="0061321D" w:rsidRPr="0091590F">
        <w:rPr>
          <w:sz w:val="24"/>
          <w:szCs w:val="24"/>
        </w:rPr>
        <w:t xml:space="preserve">  </w:t>
      </w:r>
      <w:r w:rsidR="00D22F34">
        <w:rPr>
          <w:sz w:val="24"/>
          <w:szCs w:val="24"/>
        </w:rPr>
        <w:t xml:space="preserve"> CPPP understands that Texas is not the only state in which </w:t>
      </w:r>
      <w:r w:rsidR="000D01A8">
        <w:rPr>
          <w:sz w:val="24"/>
          <w:szCs w:val="24"/>
        </w:rPr>
        <w:t xml:space="preserve">supplemental payments equal or exceed direct hospital reimbursements. </w:t>
      </w:r>
      <w:r w:rsidR="00D22F34">
        <w:rPr>
          <w:sz w:val="24"/>
          <w:szCs w:val="24"/>
        </w:rPr>
        <w:t xml:space="preserve"> </w:t>
      </w:r>
    </w:p>
    <w:p w:rsidR="0061321D" w:rsidRPr="0091590F" w:rsidRDefault="00AD5F31" w:rsidP="003173E4">
      <w:pPr>
        <w:pStyle w:val="ListParagraph"/>
        <w:spacing w:after="120" w:line="264" w:lineRule="auto"/>
        <w:ind w:left="0"/>
        <w:rPr>
          <w:sz w:val="24"/>
          <w:szCs w:val="24"/>
        </w:rPr>
      </w:pPr>
      <w:r>
        <w:rPr>
          <w:sz w:val="24"/>
          <w:szCs w:val="24"/>
        </w:rPr>
        <w:t>T</w:t>
      </w:r>
      <w:r w:rsidR="0061321D" w:rsidRPr="0091590F">
        <w:rPr>
          <w:sz w:val="24"/>
          <w:szCs w:val="24"/>
        </w:rPr>
        <w:t xml:space="preserve">his </w:t>
      </w:r>
      <w:r w:rsidR="00D22F34">
        <w:rPr>
          <w:sz w:val="24"/>
          <w:szCs w:val="24"/>
        </w:rPr>
        <w:t xml:space="preserve">heavy reliance on off-state-budget sources of the non-federal </w:t>
      </w:r>
      <w:r>
        <w:rPr>
          <w:sz w:val="24"/>
          <w:szCs w:val="24"/>
        </w:rPr>
        <w:t xml:space="preserve">funding </w:t>
      </w:r>
      <w:r w:rsidR="00D22F34">
        <w:rPr>
          <w:sz w:val="24"/>
          <w:szCs w:val="24"/>
        </w:rPr>
        <w:t xml:space="preserve">share </w:t>
      </w:r>
      <w:r w:rsidR="0061321D" w:rsidRPr="0091590F">
        <w:rPr>
          <w:sz w:val="24"/>
          <w:szCs w:val="24"/>
        </w:rPr>
        <w:t xml:space="preserve">to compensate for the uninsured (rather than on actual </w:t>
      </w:r>
      <w:r>
        <w:rPr>
          <w:sz w:val="24"/>
          <w:szCs w:val="24"/>
        </w:rPr>
        <w:t xml:space="preserve">payments for services delivered via </w:t>
      </w:r>
      <w:r w:rsidR="0061321D" w:rsidRPr="0091590F">
        <w:rPr>
          <w:sz w:val="24"/>
          <w:szCs w:val="24"/>
        </w:rPr>
        <w:t>comprehensive health care coverage) and for inadequate payment rates is contrary to CMS principles, to transparency, and to optimal health for Texas’ uninsured.</w:t>
      </w:r>
      <w:r w:rsidR="00946A1C">
        <w:rPr>
          <w:sz w:val="24"/>
          <w:szCs w:val="24"/>
        </w:rPr>
        <w:t xml:space="preserve">  It cannot be changed overnight, but CMS and Texas should continue along the path laid out under the CMS principles.</w:t>
      </w:r>
    </w:p>
    <w:p w:rsidR="0061321D" w:rsidRPr="00A82BCD" w:rsidRDefault="0061321D" w:rsidP="006B0133">
      <w:pPr>
        <w:pStyle w:val="ListParagraph"/>
        <w:spacing w:after="240" w:line="264" w:lineRule="auto"/>
        <w:ind w:left="0"/>
        <w:rPr>
          <w:bCs/>
          <w:sz w:val="24"/>
          <w:szCs w:val="24"/>
        </w:rPr>
      </w:pPr>
      <w:r w:rsidRPr="00A82BCD">
        <w:rPr>
          <w:bCs/>
          <w:sz w:val="24"/>
          <w:szCs w:val="24"/>
        </w:rPr>
        <w:t xml:space="preserve">At the same time, </w:t>
      </w:r>
      <w:r w:rsidR="00AD5F31" w:rsidRPr="00A82BCD">
        <w:rPr>
          <w:bCs/>
          <w:sz w:val="24"/>
          <w:szCs w:val="24"/>
        </w:rPr>
        <w:t xml:space="preserve">CPPP recognizes that </w:t>
      </w:r>
      <w:r w:rsidRPr="00A82BCD">
        <w:rPr>
          <w:bCs/>
          <w:sz w:val="24"/>
          <w:szCs w:val="24"/>
        </w:rPr>
        <w:t>Texas hospitals serving the Medicaid population rel</w:t>
      </w:r>
      <w:r w:rsidR="00F51138">
        <w:rPr>
          <w:bCs/>
          <w:sz w:val="24"/>
          <w:szCs w:val="24"/>
        </w:rPr>
        <w:t>y heavily</w:t>
      </w:r>
      <w:r w:rsidRPr="00A82BCD">
        <w:rPr>
          <w:bCs/>
          <w:sz w:val="24"/>
          <w:szCs w:val="24"/>
        </w:rPr>
        <w:t xml:space="preserve"> on </w:t>
      </w:r>
      <w:r w:rsidR="00AD5F31" w:rsidRPr="00A82BCD">
        <w:rPr>
          <w:bCs/>
          <w:sz w:val="24"/>
          <w:szCs w:val="24"/>
        </w:rPr>
        <w:t xml:space="preserve">1115 </w:t>
      </w:r>
      <w:r w:rsidRPr="00A82BCD">
        <w:rPr>
          <w:bCs/>
          <w:sz w:val="24"/>
          <w:szCs w:val="24"/>
        </w:rPr>
        <w:t>waiver funds</w:t>
      </w:r>
      <w:r w:rsidR="00AD5F31" w:rsidRPr="00A82BCD">
        <w:rPr>
          <w:bCs/>
          <w:sz w:val="24"/>
          <w:szCs w:val="24"/>
        </w:rPr>
        <w:t xml:space="preserve">, to continue to serve </w:t>
      </w:r>
      <w:r w:rsidR="00F51138">
        <w:rPr>
          <w:bCs/>
          <w:sz w:val="24"/>
          <w:szCs w:val="24"/>
        </w:rPr>
        <w:t xml:space="preserve">program enrollees </w:t>
      </w:r>
      <w:r w:rsidR="00AD5F31" w:rsidRPr="00A82BCD">
        <w:rPr>
          <w:bCs/>
          <w:sz w:val="24"/>
          <w:szCs w:val="24"/>
        </w:rPr>
        <w:t>and the uninsured</w:t>
      </w:r>
      <w:r w:rsidR="00A82BCD" w:rsidRPr="00A82BCD">
        <w:rPr>
          <w:bCs/>
          <w:sz w:val="24"/>
          <w:szCs w:val="24"/>
        </w:rPr>
        <w:t xml:space="preserve"> population (which today still exceeds the Texas Medicaid population in size)</w:t>
      </w:r>
      <w:r w:rsidRPr="00A82BCD">
        <w:rPr>
          <w:bCs/>
          <w:sz w:val="24"/>
          <w:szCs w:val="24"/>
        </w:rPr>
        <w:t xml:space="preserve">.  </w:t>
      </w:r>
      <w:r w:rsidR="00A82BCD">
        <w:rPr>
          <w:bCs/>
          <w:sz w:val="24"/>
          <w:szCs w:val="24"/>
        </w:rPr>
        <w:t>Texas hospitals need more adequate Medicaid payment rates statewide, and the additional patient revenues that a Medicaid expansion or 1115-based adult coverage program would provide.  These are improvement</w:t>
      </w:r>
      <w:r w:rsidR="00BC2271">
        <w:rPr>
          <w:bCs/>
          <w:sz w:val="24"/>
          <w:szCs w:val="24"/>
        </w:rPr>
        <w:t>s that</w:t>
      </w:r>
      <w:r w:rsidR="00A82BCD">
        <w:rPr>
          <w:bCs/>
          <w:sz w:val="24"/>
          <w:szCs w:val="24"/>
        </w:rPr>
        <w:t xml:space="preserve"> the state’s legislative branch and executives</w:t>
      </w:r>
      <w:r w:rsidR="00BC2271">
        <w:rPr>
          <w:bCs/>
          <w:sz w:val="24"/>
          <w:szCs w:val="24"/>
        </w:rPr>
        <w:t xml:space="preserve">—not federal </w:t>
      </w:r>
      <w:r w:rsidR="00BC2271">
        <w:rPr>
          <w:bCs/>
          <w:sz w:val="24"/>
          <w:szCs w:val="24"/>
        </w:rPr>
        <w:lastRenderedPageBreak/>
        <w:t>Medicaid officials—</w:t>
      </w:r>
      <w:r w:rsidR="00946A1C">
        <w:rPr>
          <w:bCs/>
          <w:sz w:val="24"/>
          <w:szCs w:val="24"/>
        </w:rPr>
        <w:t xml:space="preserve">must authorize.  </w:t>
      </w:r>
      <w:r w:rsidRPr="00A82BCD">
        <w:rPr>
          <w:bCs/>
          <w:sz w:val="24"/>
          <w:szCs w:val="24"/>
        </w:rPr>
        <w:t>We support CMS’ goal to redirect Texas’ system towards providing real medical homes</w:t>
      </w:r>
      <w:r w:rsidR="00946A1C">
        <w:rPr>
          <w:bCs/>
          <w:sz w:val="24"/>
          <w:szCs w:val="24"/>
        </w:rPr>
        <w:t>,</w:t>
      </w:r>
      <w:r w:rsidRPr="00A82BCD">
        <w:rPr>
          <w:bCs/>
          <w:sz w:val="24"/>
          <w:szCs w:val="24"/>
        </w:rPr>
        <w:t xml:space="preserve"> versus paying bills of the uninsured </w:t>
      </w:r>
      <w:r w:rsidR="00946A1C">
        <w:rPr>
          <w:bCs/>
          <w:sz w:val="24"/>
          <w:szCs w:val="24"/>
        </w:rPr>
        <w:t>after they land in the Emergency D</w:t>
      </w:r>
      <w:r w:rsidRPr="00A82BCD">
        <w:rPr>
          <w:bCs/>
          <w:sz w:val="24"/>
          <w:szCs w:val="24"/>
        </w:rPr>
        <w:t xml:space="preserve">epartment, and paying adequate rates to all Medicaid hospitals rather than supplemental payments.  </w:t>
      </w:r>
      <w:r w:rsidRPr="000D01A8">
        <w:rPr>
          <w:b/>
          <w:bCs/>
          <w:sz w:val="24"/>
          <w:szCs w:val="24"/>
        </w:rPr>
        <w:t xml:space="preserve">But, we also acknowledge that </w:t>
      </w:r>
      <w:r w:rsidR="00BC2271">
        <w:rPr>
          <w:b/>
          <w:bCs/>
          <w:sz w:val="24"/>
          <w:szCs w:val="24"/>
        </w:rPr>
        <w:t xml:space="preserve">movement toward these goals </w:t>
      </w:r>
      <w:r w:rsidRPr="000D01A8">
        <w:rPr>
          <w:b/>
          <w:bCs/>
          <w:sz w:val="24"/>
          <w:szCs w:val="24"/>
        </w:rPr>
        <w:t>must be undertaken in a manner and on a timeline that will not create a crisis in Texas’ safety net.</w:t>
      </w:r>
    </w:p>
    <w:p w:rsidR="0091590F" w:rsidRPr="0091590F" w:rsidRDefault="0091590F" w:rsidP="000D01A8">
      <w:pPr>
        <w:spacing w:after="240" w:line="264" w:lineRule="auto"/>
        <w:rPr>
          <w:szCs w:val="24"/>
        </w:rPr>
      </w:pPr>
      <w:r w:rsidRPr="0091590F">
        <w:rPr>
          <w:noProof/>
          <w:szCs w:val="24"/>
          <w:bdr w:val="single" w:sz="18" w:space="0" w:color="auto"/>
        </w:rPr>
        <w:drawing>
          <wp:inline distT="0" distB="0" distL="0" distR="0">
            <wp:extent cx="5184648" cy="38496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4648" cy="3849624"/>
                    </a:xfrm>
                    <a:prstGeom prst="rect">
                      <a:avLst/>
                    </a:prstGeom>
                    <a:noFill/>
                  </pic:spPr>
                </pic:pic>
              </a:graphicData>
            </a:graphic>
          </wp:inline>
        </w:drawing>
      </w:r>
    </w:p>
    <w:p w:rsidR="0061321D" w:rsidRPr="006B0133" w:rsidRDefault="006B0133" w:rsidP="006B0133">
      <w:pPr>
        <w:pStyle w:val="ListParagraph"/>
        <w:spacing w:after="120" w:line="264" w:lineRule="auto"/>
        <w:ind w:left="0"/>
        <w:rPr>
          <w:bCs/>
          <w:sz w:val="24"/>
          <w:szCs w:val="24"/>
        </w:rPr>
      </w:pPr>
      <w:r>
        <w:rPr>
          <w:sz w:val="24"/>
          <w:szCs w:val="24"/>
        </w:rPr>
        <w:t>CPPP is also</w:t>
      </w:r>
      <w:r w:rsidR="0061321D" w:rsidRPr="0091590F">
        <w:rPr>
          <w:sz w:val="24"/>
          <w:szCs w:val="24"/>
        </w:rPr>
        <w:t xml:space="preserve"> concerned that the funding structure for Texas’ waiver may be</w:t>
      </w:r>
      <w:r w:rsidR="00BC2271">
        <w:rPr>
          <w:sz w:val="24"/>
          <w:szCs w:val="24"/>
        </w:rPr>
        <w:t>—</w:t>
      </w:r>
      <w:r w:rsidR="0061321D" w:rsidRPr="0091590F">
        <w:rPr>
          <w:sz w:val="24"/>
          <w:szCs w:val="24"/>
        </w:rPr>
        <w:t xml:space="preserve">unintentionally but </w:t>
      </w:r>
      <w:r>
        <w:rPr>
          <w:sz w:val="24"/>
          <w:szCs w:val="24"/>
        </w:rPr>
        <w:t>s</w:t>
      </w:r>
      <w:r w:rsidR="00BC2271">
        <w:rPr>
          <w:sz w:val="24"/>
          <w:szCs w:val="24"/>
        </w:rPr>
        <w:t>ignificantly—</w:t>
      </w:r>
      <w:r w:rsidR="0061321D" w:rsidRPr="0091590F">
        <w:rPr>
          <w:sz w:val="24"/>
          <w:szCs w:val="24"/>
        </w:rPr>
        <w:t>undermining “state</w:t>
      </w:r>
      <w:r w:rsidR="00BC2271">
        <w:rPr>
          <w:sz w:val="24"/>
          <w:szCs w:val="24"/>
        </w:rPr>
        <w:t>-</w:t>
      </w:r>
      <w:r w:rsidR="0061321D" w:rsidRPr="0091590F">
        <w:rPr>
          <w:sz w:val="24"/>
          <w:szCs w:val="24"/>
        </w:rPr>
        <w:t xml:space="preserve">wideness” in the program.  As noted, 1115 waiver funding to hospitals nearly </w:t>
      </w:r>
      <w:r w:rsidR="0019746D">
        <w:rPr>
          <w:sz w:val="24"/>
          <w:szCs w:val="24"/>
        </w:rPr>
        <w:t>equals</w:t>
      </w:r>
      <w:r w:rsidR="0061321D" w:rsidRPr="0091590F">
        <w:rPr>
          <w:sz w:val="24"/>
          <w:szCs w:val="24"/>
        </w:rPr>
        <w:t xml:space="preserve"> the amount of direct reimbursements for care by Medicaid.  But, only the hospitals and participating providers with access to a source of local/regional funding for an Inter-governmental Transfer (“IGT”) can access the UC or DSRIP benefits of Texas’ waiver.  </w:t>
      </w:r>
      <w:r>
        <w:rPr>
          <w:sz w:val="24"/>
          <w:szCs w:val="24"/>
        </w:rPr>
        <w:t xml:space="preserve"> </w:t>
      </w:r>
      <w:r w:rsidR="0061321D" w:rsidRPr="006B0133">
        <w:rPr>
          <w:bCs/>
          <w:sz w:val="24"/>
          <w:szCs w:val="24"/>
        </w:rPr>
        <w:t xml:space="preserve">This raises the very serious concern that the waiver </w:t>
      </w:r>
      <w:r>
        <w:rPr>
          <w:bCs/>
          <w:sz w:val="24"/>
          <w:szCs w:val="24"/>
        </w:rPr>
        <w:t>supports</w:t>
      </w:r>
      <w:r w:rsidR="0061321D" w:rsidRPr="006B0133">
        <w:rPr>
          <w:bCs/>
          <w:sz w:val="24"/>
          <w:szCs w:val="24"/>
        </w:rPr>
        <w:t xml:space="preserve"> a </w:t>
      </w:r>
      <w:r w:rsidR="0061321D" w:rsidRPr="006B0133">
        <w:rPr>
          <w:bCs/>
          <w:i/>
          <w:iCs/>
          <w:sz w:val="24"/>
          <w:szCs w:val="24"/>
        </w:rPr>
        <w:t xml:space="preserve">de </w:t>
      </w:r>
      <w:r w:rsidR="0061321D" w:rsidRPr="006B0133">
        <w:rPr>
          <w:bCs/>
          <w:i/>
          <w:iCs/>
          <w:sz w:val="24"/>
          <w:szCs w:val="24"/>
        </w:rPr>
        <w:lastRenderedPageBreak/>
        <w:t>facto</w:t>
      </w:r>
      <w:r w:rsidR="0061321D" w:rsidRPr="006B0133">
        <w:rPr>
          <w:bCs/>
          <w:sz w:val="24"/>
          <w:szCs w:val="24"/>
        </w:rPr>
        <w:t xml:space="preserve"> system in which wealthier jurisdictions with greater fiscal capacity essentially are able to offer a richer and more generous Medicaid program, paying better rates</w:t>
      </w:r>
      <w:r>
        <w:rPr>
          <w:bCs/>
          <w:sz w:val="24"/>
          <w:szCs w:val="24"/>
        </w:rPr>
        <w:t xml:space="preserve"> and housing </w:t>
      </w:r>
      <w:r w:rsidR="004404BA">
        <w:rPr>
          <w:bCs/>
          <w:sz w:val="24"/>
          <w:szCs w:val="24"/>
        </w:rPr>
        <w:t xml:space="preserve">more </w:t>
      </w:r>
      <w:r>
        <w:rPr>
          <w:bCs/>
          <w:sz w:val="24"/>
          <w:szCs w:val="24"/>
        </w:rPr>
        <w:t>innovat</w:t>
      </w:r>
      <w:r w:rsidR="00B4487C">
        <w:rPr>
          <w:bCs/>
          <w:sz w:val="24"/>
          <w:szCs w:val="24"/>
        </w:rPr>
        <w:t>iv</w:t>
      </w:r>
      <w:r>
        <w:rPr>
          <w:bCs/>
          <w:sz w:val="24"/>
          <w:szCs w:val="24"/>
        </w:rPr>
        <w:t>e programs</w:t>
      </w:r>
      <w:r w:rsidR="0061321D" w:rsidRPr="006B0133">
        <w:rPr>
          <w:bCs/>
          <w:sz w:val="24"/>
          <w:szCs w:val="24"/>
        </w:rPr>
        <w:t xml:space="preserve">, than poorer Texas jurisdictions with less fiscal capacity.  </w:t>
      </w:r>
    </w:p>
    <w:p w:rsidR="006B0133" w:rsidRDefault="0061321D" w:rsidP="004247BF">
      <w:pPr>
        <w:pStyle w:val="ListParagraph"/>
        <w:spacing w:after="120" w:line="264" w:lineRule="auto"/>
        <w:ind w:left="0"/>
        <w:rPr>
          <w:sz w:val="24"/>
          <w:szCs w:val="24"/>
        </w:rPr>
      </w:pPr>
      <w:r w:rsidRPr="0091590F">
        <w:rPr>
          <w:sz w:val="24"/>
          <w:szCs w:val="24"/>
        </w:rPr>
        <w:t xml:space="preserve">Smaller community hospitals </w:t>
      </w:r>
      <w:r w:rsidR="00E02540">
        <w:rPr>
          <w:sz w:val="24"/>
          <w:szCs w:val="24"/>
        </w:rPr>
        <w:t xml:space="preserve">(and communities without hospitals) </w:t>
      </w:r>
      <w:r w:rsidRPr="0091590F">
        <w:rPr>
          <w:sz w:val="24"/>
          <w:szCs w:val="24"/>
        </w:rPr>
        <w:t xml:space="preserve">with limited </w:t>
      </w:r>
      <w:r w:rsidR="004247BF">
        <w:rPr>
          <w:sz w:val="24"/>
          <w:szCs w:val="24"/>
        </w:rPr>
        <w:t xml:space="preserve">local-government </w:t>
      </w:r>
      <w:r w:rsidRPr="0091590F">
        <w:rPr>
          <w:sz w:val="24"/>
          <w:szCs w:val="24"/>
        </w:rPr>
        <w:t>fiscal capacity to provide IGT cannot benefit signif</w:t>
      </w:r>
      <w:r w:rsidR="002E2517">
        <w:rPr>
          <w:sz w:val="24"/>
          <w:szCs w:val="24"/>
        </w:rPr>
        <w:t>icantly from either DSRIP or UC.</w:t>
      </w:r>
      <w:r w:rsidRPr="0091590F">
        <w:rPr>
          <w:sz w:val="24"/>
          <w:szCs w:val="24"/>
        </w:rPr>
        <w:t xml:space="preserve"> </w:t>
      </w:r>
      <w:r w:rsidR="002E2517">
        <w:rPr>
          <w:sz w:val="24"/>
          <w:szCs w:val="24"/>
        </w:rPr>
        <w:t xml:space="preserve"> B</w:t>
      </w:r>
      <w:r w:rsidR="00EB257D">
        <w:rPr>
          <w:sz w:val="24"/>
          <w:szCs w:val="24"/>
        </w:rPr>
        <w:t>ecause of this</w:t>
      </w:r>
      <w:r w:rsidR="002E2517">
        <w:rPr>
          <w:sz w:val="24"/>
          <w:szCs w:val="24"/>
        </w:rPr>
        <w:t>, smaller hospitals</w:t>
      </w:r>
      <w:r w:rsidR="00EB257D">
        <w:rPr>
          <w:sz w:val="24"/>
          <w:szCs w:val="24"/>
        </w:rPr>
        <w:t xml:space="preserve"> </w:t>
      </w:r>
      <w:r w:rsidRPr="0091590F">
        <w:rPr>
          <w:sz w:val="24"/>
          <w:szCs w:val="24"/>
        </w:rPr>
        <w:t>are feeling the full brunt of cost containment policies under the ACA that were intended to be balanced with patient revenues from those newly insured by Medicaid.</w:t>
      </w:r>
      <w:r w:rsidR="004247BF">
        <w:rPr>
          <w:sz w:val="24"/>
          <w:szCs w:val="24"/>
        </w:rPr>
        <w:t xml:space="preserve">  </w:t>
      </w:r>
      <w:r w:rsidR="00EB257D">
        <w:rPr>
          <w:sz w:val="24"/>
          <w:szCs w:val="24"/>
        </w:rPr>
        <w:t xml:space="preserve">Larger hospitals with access to local IGT are protected </w:t>
      </w:r>
      <w:r w:rsidR="004404BA">
        <w:rPr>
          <w:sz w:val="24"/>
          <w:szCs w:val="24"/>
        </w:rPr>
        <w:t>from</w:t>
      </w:r>
      <w:r w:rsidR="00EB257D">
        <w:rPr>
          <w:sz w:val="24"/>
          <w:szCs w:val="24"/>
        </w:rPr>
        <w:t xml:space="preserve"> the full impact of the cost containment policies by </w:t>
      </w:r>
      <w:r w:rsidR="004404BA">
        <w:rPr>
          <w:sz w:val="24"/>
          <w:szCs w:val="24"/>
        </w:rPr>
        <w:t xml:space="preserve">their waiver revenues.  </w:t>
      </w:r>
      <w:r w:rsidR="004247BF">
        <w:rPr>
          <w:sz w:val="24"/>
          <w:szCs w:val="24"/>
        </w:rPr>
        <w:t>We believe that in Texas, as in Florida, “</w:t>
      </w:r>
      <w:r w:rsidR="006B0133" w:rsidRPr="0091590F">
        <w:rPr>
          <w:sz w:val="24"/>
          <w:szCs w:val="24"/>
        </w:rPr>
        <w:t>fundamental changes to the distribution approach are needed so that payments support services provided to beneficiaries and low-income individuals.</w:t>
      </w:r>
      <w:r w:rsidR="004247BF">
        <w:rPr>
          <w:sz w:val="24"/>
          <w:szCs w:val="24"/>
        </w:rPr>
        <w:t>”</w:t>
      </w:r>
      <w:r w:rsidR="006819A1">
        <w:rPr>
          <w:sz w:val="24"/>
          <w:szCs w:val="24"/>
        </w:rPr>
        <w:t xml:space="preserve"> </w:t>
      </w:r>
    </w:p>
    <w:p w:rsidR="00686DBA" w:rsidRDefault="00686DBA" w:rsidP="006819A1">
      <w:pPr>
        <w:pStyle w:val="ListParagraph"/>
        <w:spacing w:after="120" w:line="264" w:lineRule="auto"/>
        <w:ind w:left="0"/>
        <w:rPr>
          <w:sz w:val="24"/>
          <w:szCs w:val="24"/>
        </w:rPr>
      </w:pPr>
      <w:r>
        <w:rPr>
          <w:sz w:val="24"/>
          <w:szCs w:val="24"/>
        </w:rPr>
        <w:t xml:space="preserve">It is </w:t>
      </w:r>
      <w:r w:rsidR="002E2517">
        <w:rPr>
          <w:sz w:val="24"/>
          <w:szCs w:val="24"/>
        </w:rPr>
        <w:t xml:space="preserve">also </w:t>
      </w:r>
      <w:r>
        <w:rPr>
          <w:sz w:val="24"/>
          <w:szCs w:val="24"/>
        </w:rPr>
        <w:t xml:space="preserve">worth noting that the largest providers of IGT, public hospital financing districts in Texas high-population urban counties, essentially only benefit from the federal share of waiver payments, as they are providing the non-federal share.  </w:t>
      </w:r>
    </w:p>
    <w:p w:rsidR="00686DBA" w:rsidRDefault="00686DBA" w:rsidP="006819A1">
      <w:pPr>
        <w:pStyle w:val="ListParagraph"/>
        <w:spacing w:after="120" w:line="264" w:lineRule="auto"/>
        <w:ind w:left="0"/>
        <w:rPr>
          <w:sz w:val="24"/>
          <w:szCs w:val="24"/>
        </w:rPr>
      </w:pPr>
      <w:r>
        <w:rPr>
          <w:sz w:val="24"/>
          <w:szCs w:val="24"/>
        </w:rPr>
        <w:t xml:space="preserve">Method of finance issues </w:t>
      </w:r>
      <w:r w:rsidR="00EB257D">
        <w:rPr>
          <w:sz w:val="24"/>
          <w:szCs w:val="24"/>
        </w:rPr>
        <w:t xml:space="preserve">are not limited to the UC component of Texas waiver.  They </w:t>
      </w:r>
      <w:r>
        <w:rPr>
          <w:sz w:val="24"/>
          <w:szCs w:val="24"/>
        </w:rPr>
        <w:t>also affect the ability of Texas Medicaid to integrate DSRIP projects into Medicaid Managed Care policy and rates, and this extends beyond the stark lack of coverage</w:t>
      </w:r>
      <w:r w:rsidR="00AF41E3">
        <w:rPr>
          <w:sz w:val="24"/>
          <w:szCs w:val="24"/>
        </w:rPr>
        <w:t xml:space="preserve"> for a majority of Texas adults with incomes below 138 percent of the federal poverty income.  A number of promising DSRIP projects offer service modalities and settings, or services delivered by provider types that are not currently offered in the Texas Medicaid State Plan.  To integrate these into Medicaid Managed Care </w:t>
      </w:r>
      <w:r w:rsidR="00EB257D">
        <w:rPr>
          <w:sz w:val="24"/>
          <w:szCs w:val="24"/>
        </w:rPr>
        <w:t xml:space="preserve">models, Texas Medicaid officials will have to request </w:t>
      </w:r>
      <w:r w:rsidR="00EB257D">
        <w:rPr>
          <w:sz w:val="24"/>
          <w:szCs w:val="24"/>
        </w:rPr>
        <w:lastRenderedPageBreak/>
        <w:t xml:space="preserve">and receive increased state budget </w:t>
      </w:r>
      <w:r w:rsidR="004404BA">
        <w:rPr>
          <w:sz w:val="24"/>
          <w:szCs w:val="24"/>
        </w:rPr>
        <w:t>appropriations; that is, will have to convert these activities from off-budget to on-</w:t>
      </w:r>
      <w:r w:rsidR="002E2517">
        <w:rPr>
          <w:sz w:val="24"/>
          <w:szCs w:val="24"/>
        </w:rPr>
        <w:t>state-</w:t>
      </w:r>
      <w:r w:rsidR="004404BA">
        <w:rPr>
          <w:sz w:val="24"/>
          <w:szCs w:val="24"/>
        </w:rPr>
        <w:t>budget financing</w:t>
      </w:r>
      <w:r w:rsidR="002E2517">
        <w:rPr>
          <w:sz w:val="24"/>
          <w:szCs w:val="24"/>
        </w:rPr>
        <w:t>, funded via Medicaid Managed Care premiums</w:t>
      </w:r>
      <w:r w:rsidR="004404BA">
        <w:rPr>
          <w:sz w:val="24"/>
          <w:szCs w:val="24"/>
        </w:rPr>
        <w:t xml:space="preserve">. </w:t>
      </w:r>
    </w:p>
    <w:p w:rsidR="006819A1" w:rsidRPr="006819A1" w:rsidRDefault="006819A1" w:rsidP="006819A1">
      <w:pPr>
        <w:pStyle w:val="ListParagraph"/>
        <w:spacing w:after="120" w:line="264" w:lineRule="auto"/>
        <w:ind w:left="0"/>
        <w:rPr>
          <w:b/>
          <w:sz w:val="24"/>
          <w:szCs w:val="24"/>
          <w:u w:val="single"/>
        </w:rPr>
      </w:pPr>
      <w:r w:rsidRPr="006819A1">
        <w:rPr>
          <w:b/>
          <w:sz w:val="24"/>
          <w:szCs w:val="24"/>
          <w:u w:val="single"/>
        </w:rPr>
        <w:t>C</w:t>
      </w:r>
      <w:r w:rsidR="0019746D">
        <w:rPr>
          <w:b/>
          <w:sz w:val="24"/>
          <w:szCs w:val="24"/>
          <w:u w:val="single"/>
        </w:rPr>
        <w:t>onclusion</w:t>
      </w:r>
    </w:p>
    <w:p w:rsidR="006819A1" w:rsidRPr="0091590F" w:rsidRDefault="006819A1" w:rsidP="006819A1">
      <w:pPr>
        <w:pStyle w:val="ListParagraph"/>
        <w:spacing w:after="120" w:line="264" w:lineRule="auto"/>
        <w:ind w:left="0"/>
        <w:rPr>
          <w:sz w:val="24"/>
          <w:szCs w:val="24"/>
        </w:rPr>
      </w:pPr>
      <w:r w:rsidRPr="0091590F">
        <w:rPr>
          <w:sz w:val="24"/>
          <w:szCs w:val="24"/>
        </w:rPr>
        <w:t xml:space="preserve">In summation, CPPP supports the </w:t>
      </w:r>
      <w:r>
        <w:rPr>
          <w:sz w:val="24"/>
          <w:szCs w:val="24"/>
        </w:rPr>
        <w:t>extension</w:t>
      </w:r>
      <w:r w:rsidRPr="0091590F">
        <w:rPr>
          <w:sz w:val="24"/>
          <w:szCs w:val="24"/>
        </w:rPr>
        <w:t xml:space="preserve"> of Texas’ 1115 waiver, but calls on </w:t>
      </w:r>
      <w:r w:rsidR="00E72C29">
        <w:rPr>
          <w:sz w:val="24"/>
          <w:szCs w:val="24"/>
        </w:rPr>
        <w:t xml:space="preserve">the Secretary and </w:t>
      </w:r>
      <w:r w:rsidR="00E72C29" w:rsidRPr="0091590F">
        <w:rPr>
          <w:sz w:val="24"/>
          <w:szCs w:val="24"/>
        </w:rPr>
        <w:t xml:space="preserve">CMS </w:t>
      </w:r>
      <w:r w:rsidRPr="0091590F">
        <w:rPr>
          <w:sz w:val="24"/>
          <w:szCs w:val="24"/>
        </w:rPr>
        <w:t xml:space="preserve">to carefully review Texas’ proposal and take steps to move Texas Medicaid away from inequitable and opaque financing, and toward comprehensive coverage, adequate rates, innovative delivery practices, and a truly statewide program.  </w:t>
      </w:r>
      <w:r w:rsidR="00E02540">
        <w:rPr>
          <w:sz w:val="24"/>
          <w:szCs w:val="24"/>
        </w:rPr>
        <w:t xml:space="preserve"> We </w:t>
      </w:r>
      <w:r w:rsidR="00E72C29">
        <w:rPr>
          <w:sz w:val="24"/>
          <w:szCs w:val="24"/>
        </w:rPr>
        <w:t xml:space="preserve">understand that balancing these needs will be a challenging task for </w:t>
      </w:r>
      <w:r w:rsidR="001142E8">
        <w:rPr>
          <w:sz w:val="24"/>
          <w:szCs w:val="24"/>
        </w:rPr>
        <w:t xml:space="preserve">Texas Medicaid and federal Medicaid officials. </w:t>
      </w:r>
    </w:p>
    <w:p w:rsidR="000D01A8" w:rsidRPr="0091590F" w:rsidRDefault="000D01A8" w:rsidP="006819A1">
      <w:pPr>
        <w:pStyle w:val="ListParagraph"/>
        <w:spacing w:after="120" w:line="264" w:lineRule="auto"/>
        <w:ind w:left="0"/>
        <w:rPr>
          <w:sz w:val="24"/>
          <w:szCs w:val="24"/>
        </w:rPr>
      </w:pPr>
      <w:r w:rsidRPr="0091590F">
        <w:rPr>
          <w:sz w:val="24"/>
          <w:szCs w:val="24"/>
        </w:rPr>
        <w:t xml:space="preserve">We acknowledge </w:t>
      </w:r>
      <w:r w:rsidR="001142E8">
        <w:rPr>
          <w:sz w:val="24"/>
          <w:szCs w:val="24"/>
        </w:rPr>
        <w:t xml:space="preserve">that the </w:t>
      </w:r>
      <w:r w:rsidRPr="0091590F">
        <w:rPr>
          <w:sz w:val="24"/>
          <w:szCs w:val="24"/>
        </w:rPr>
        <w:t xml:space="preserve"> </w:t>
      </w:r>
      <w:r w:rsidR="00AC13E7" w:rsidRPr="0091590F">
        <w:rPr>
          <w:sz w:val="24"/>
          <w:szCs w:val="24"/>
        </w:rPr>
        <w:t xml:space="preserve">Texas legislature and </w:t>
      </w:r>
      <w:r w:rsidR="001142E8">
        <w:rPr>
          <w:sz w:val="24"/>
          <w:szCs w:val="24"/>
        </w:rPr>
        <w:t>Governor</w:t>
      </w:r>
      <w:r w:rsidR="00AC13E7">
        <w:rPr>
          <w:sz w:val="24"/>
          <w:szCs w:val="24"/>
        </w:rPr>
        <w:t xml:space="preserve"> hold </w:t>
      </w:r>
      <w:r w:rsidR="00AC13E7" w:rsidRPr="0091590F">
        <w:rPr>
          <w:sz w:val="24"/>
          <w:szCs w:val="24"/>
        </w:rPr>
        <w:t xml:space="preserve">equal or greater </w:t>
      </w:r>
      <w:r w:rsidRPr="0091590F">
        <w:rPr>
          <w:sz w:val="24"/>
          <w:szCs w:val="24"/>
        </w:rPr>
        <w:t>responsibility for supporting the Texas safety net</w:t>
      </w:r>
      <w:r w:rsidR="00AC13E7">
        <w:rPr>
          <w:sz w:val="24"/>
          <w:szCs w:val="24"/>
        </w:rPr>
        <w:t>, and our state government has at its</w:t>
      </w:r>
      <w:r w:rsidRPr="0091590F">
        <w:rPr>
          <w:sz w:val="24"/>
          <w:szCs w:val="24"/>
        </w:rPr>
        <w:t xml:space="preserve"> disposal the means to avoid any negativ</w:t>
      </w:r>
      <w:r w:rsidR="001142E8">
        <w:rPr>
          <w:sz w:val="24"/>
          <w:szCs w:val="24"/>
        </w:rPr>
        <w:t>e impact to Texas hospitals, by</w:t>
      </w:r>
      <w:r w:rsidRPr="0091590F">
        <w:rPr>
          <w:sz w:val="24"/>
          <w:szCs w:val="24"/>
        </w:rPr>
        <w:t xml:space="preserve"> </w:t>
      </w:r>
      <w:r w:rsidR="001142E8">
        <w:rPr>
          <w:sz w:val="24"/>
          <w:szCs w:val="24"/>
        </w:rPr>
        <w:t xml:space="preserve">implementing </w:t>
      </w:r>
      <w:r w:rsidRPr="0091590F">
        <w:rPr>
          <w:sz w:val="24"/>
          <w:szCs w:val="24"/>
        </w:rPr>
        <w:t xml:space="preserve">Medicaid expansion or an 1115 coverage expansion waiver.  Indeed, </w:t>
      </w:r>
      <w:r w:rsidR="00AC13E7">
        <w:rPr>
          <w:sz w:val="24"/>
          <w:szCs w:val="24"/>
        </w:rPr>
        <w:t xml:space="preserve">our leadership could achieve a dramatic increase in federal support for Texas, as </w:t>
      </w:r>
      <w:r w:rsidRPr="0091590F">
        <w:rPr>
          <w:sz w:val="24"/>
          <w:szCs w:val="24"/>
        </w:rPr>
        <w:t xml:space="preserve">every estimate to date </w:t>
      </w:r>
      <w:r w:rsidR="00585A39">
        <w:rPr>
          <w:sz w:val="24"/>
          <w:szCs w:val="24"/>
        </w:rPr>
        <w:t>(</w:t>
      </w:r>
      <w:r w:rsidRPr="0091590F">
        <w:rPr>
          <w:sz w:val="24"/>
          <w:szCs w:val="24"/>
        </w:rPr>
        <w:t>including the states’ own</w:t>
      </w:r>
      <w:r w:rsidR="00585A39">
        <w:rPr>
          <w:sz w:val="24"/>
          <w:szCs w:val="24"/>
        </w:rPr>
        <w:t xml:space="preserve"> models)</w:t>
      </w:r>
      <w:r w:rsidRPr="0091590F">
        <w:rPr>
          <w:sz w:val="24"/>
          <w:szCs w:val="24"/>
        </w:rPr>
        <w:t xml:space="preserve"> predicts a net gain of $4 to $9 billion a year from covering adults to 138% FPL.</w:t>
      </w:r>
      <w:r w:rsidR="00585A39">
        <w:rPr>
          <w:sz w:val="24"/>
          <w:szCs w:val="24"/>
        </w:rPr>
        <w:t xml:space="preserve">  And, as noted, the list of recent </w:t>
      </w:r>
      <w:r w:rsidR="001142E8">
        <w:rPr>
          <w:sz w:val="24"/>
          <w:szCs w:val="24"/>
        </w:rPr>
        <w:t xml:space="preserve">approved </w:t>
      </w:r>
      <w:r w:rsidR="00585A39">
        <w:rPr>
          <w:sz w:val="24"/>
          <w:szCs w:val="24"/>
        </w:rPr>
        <w:t>1115 coverage expansion waivers clearly demonstrates the opportunity</w:t>
      </w:r>
      <w:r w:rsidR="00E02540">
        <w:rPr>
          <w:sz w:val="24"/>
          <w:szCs w:val="24"/>
        </w:rPr>
        <w:t xml:space="preserve"> for states to test an unprecedented variety of delivery designs. </w:t>
      </w:r>
    </w:p>
    <w:p w:rsidR="0061321D" w:rsidRPr="0091590F" w:rsidRDefault="0061321D" w:rsidP="006819A1">
      <w:pPr>
        <w:pStyle w:val="ListParagraph"/>
        <w:spacing w:after="120" w:line="264" w:lineRule="auto"/>
        <w:ind w:left="0"/>
        <w:rPr>
          <w:sz w:val="24"/>
          <w:szCs w:val="24"/>
        </w:rPr>
      </w:pPr>
      <w:r w:rsidRPr="0091590F">
        <w:rPr>
          <w:sz w:val="24"/>
          <w:szCs w:val="24"/>
        </w:rPr>
        <w:t xml:space="preserve">We </w:t>
      </w:r>
      <w:r w:rsidR="000771D1">
        <w:rPr>
          <w:sz w:val="24"/>
          <w:szCs w:val="24"/>
        </w:rPr>
        <w:t xml:space="preserve">will </w:t>
      </w:r>
      <w:r w:rsidRPr="0091590F">
        <w:rPr>
          <w:sz w:val="24"/>
          <w:szCs w:val="24"/>
        </w:rPr>
        <w:t xml:space="preserve">continue to urge our Texas state leadership to do the best thing for </w:t>
      </w:r>
      <w:r w:rsidR="005167DA" w:rsidRPr="0091590F">
        <w:rPr>
          <w:sz w:val="24"/>
          <w:szCs w:val="24"/>
        </w:rPr>
        <w:t xml:space="preserve">both </w:t>
      </w:r>
      <w:r w:rsidRPr="0091590F">
        <w:rPr>
          <w:sz w:val="24"/>
          <w:szCs w:val="24"/>
        </w:rPr>
        <w:t xml:space="preserve">Texans’ health care system and taxpayers’ well-being: to modify this proposal </w:t>
      </w:r>
      <w:r w:rsidR="00237C35">
        <w:rPr>
          <w:sz w:val="24"/>
          <w:szCs w:val="24"/>
        </w:rPr>
        <w:t xml:space="preserve">and </w:t>
      </w:r>
      <w:r w:rsidRPr="0091590F">
        <w:rPr>
          <w:sz w:val="24"/>
          <w:szCs w:val="24"/>
        </w:rPr>
        <w:t xml:space="preserve">link it to a coverage program for our uninsured adults with incomes up to 138 percent of the federal poverty income level.  </w:t>
      </w:r>
    </w:p>
    <w:p w:rsidR="00247E09" w:rsidRPr="0091590F" w:rsidRDefault="001142E8" w:rsidP="001142E8">
      <w:pPr>
        <w:spacing w:before="120" w:line="264" w:lineRule="auto"/>
        <w:rPr>
          <w:rFonts w:asciiTheme="minorHAnsi" w:hAnsiTheme="minorHAnsi"/>
          <w:szCs w:val="24"/>
        </w:rPr>
      </w:pPr>
      <w:r>
        <w:rPr>
          <w:rFonts w:asciiTheme="minorHAnsi" w:eastAsiaTheme="minorHAnsi" w:hAnsiTheme="minorHAnsi" w:cs="Arial"/>
          <w:szCs w:val="24"/>
        </w:rPr>
        <w:t xml:space="preserve">Thank you </w:t>
      </w:r>
      <w:r w:rsidR="00237C35">
        <w:rPr>
          <w:rFonts w:asciiTheme="minorHAnsi" w:eastAsiaTheme="minorHAnsi" w:hAnsiTheme="minorHAnsi" w:cs="Arial"/>
          <w:szCs w:val="24"/>
        </w:rPr>
        <w:t xml:space="preserve">again </w:t>
      </w:r>
      <w:r>
        <w:rPr>
          <w:rFonts w:asciiTheme="minorHAnsi" w:eastAsiaTheme="minorHAnsi" w:hAnsiTheme="minorHAnsi" w:cs="Arial"/>
          <w:szCs w:val="24"/>
        </w:rPr>
        <w:t xml:space="preserve">for the opportunity to comment on this important and complex matter.  </w:t>
      </w:r>
      <w:r w:rsidR="00247E09" w:rsidRPr="00247E09">
        <w:rPr>
          <w:rFonts w:asciiTheme="minorHAnsi" w:eastAsiaTheme="minorHAnsi" w:hAnsiTheme="minorHAnsi" w:cs="Arial"/>
          <w:szCs w:val="24"/>
        </w:rPr>
        <w:t>Questions related to th</w:t>
      </w:r>
      <w:r w:rsidR="00247E09" w:rsidRPr="0091590F">
        <w:rPr>
          <w:rFonts w:asciiTheme="minorHAnsi" w:eastAsiaTheme="minorHAnsi" w:hAnsiTheme="minorHAnsi" w:cs="Arial"/>
          <w:szCs w:val="24"/>
        </w:rPr>
        <w:t>ese comments</w:t>
      </w:r>
      <w:r w:rsidR="00247E09" w:rsidRPr="00247E09">
        <w:rPr>
          <w:rFonts w:asciiTheme="minorHAnsi" w:eastAsiaTheme="minorHAnsi" w:hAnsiTheme="minorHAnsi" w:cs="Arial"/>
          <w:szCs w:val="24"/>
        </w:rPr>
        <w:t xml:space="preserve"> may be addressed to: Anne </w:t>
      </w:r>
      <w:r w:rsidR="00247E09" w:rsidRPr="00247E09">
        <w:rPr>
          <w:rFonts w:asciiTheme="minorHAnsi" w:eastAsiaTheme="minorHAnsi" w:hAnsiTheme="minorHAnsi" w:cs="Arial"/>
          <w:szCs w:val="24"/>
        </w:rPr>
        <w:lastRenderedPageBreak/>
        <w:t>Dunkelberg, Assoc</w:t>
      </w:r>
      <w:r>
        <w:rPr>
          <w:rFonts w:asciiTheme="minorHAnsi" w:eastAsiaTheme="minorHAnsi" w:hAnsiTheme="minorHAnsi" w:cs="Arial"/>
          <w:szCs w:val="24"/>
        </w:rPr>
        <w:t xml:space="preserve">iate </w:t>
      </w:r>
      <w:r w:rsidR="00247E09" w:rsidRPr="00247E09">
        <w:rPr>
          <w:rFonts w:asciiTheme="minorHAnsi" w:eastAsiaTheme="minorHAnsi" w:hAnsiTheme="minorHAnsi" w:cs="Arial"/>
          <w:szCs w:val="24"/>
        </w:rPr>
        <w:t xml:space="preserve">Director, </w:t>
      </w:r>
      <w:hyperlink r:id="rId10" w:history="1">
        <w:r w:rsidR="00247E09" w:rsidRPr="0091590F">
          <w:rPr>
            <w:rFonts w:asciiTheme="minorHAnsi" w:eastAsiaTheme="minorHAnsi" w:hAnsiTheme="minorHAnsi" w:cs="Arial"/>
            <w:color w:val="0000FF"/>
            <w:szCs w:val="24"/>
            <w:u w:val="single"/>
          </w:rPr>
          <w:t>dunkelberg@cppp.org</w:t>
        </w:r>
      </w:hyperlink>
      <w:r>
        <w:rPr>
          <w:rFonts w:asciiTheme="minorHAnsi" w:eastAsiaTheme="minorHAnsi" w:hAnsiTheme="minorHAnsi" w:cs="Arial"/>
          <w:szCs w:val="24"/>
        </w:rPr>
        <w:t xml:space="preserve"> ; </w:t>
      </w:r>
      <w:r w:rsidR="00247E09" w:rsidRPr="00247E09">
        <w:rPr>
          <w:rFonts w:asciiTheme="minorHAnsi" w:eastAsiaTheme="minorHAnsi" w:hAnsiTheme="minorHAnsi" w:cs="Arial"/>
          <w:szCs w:val="24"/>
        </w:rPr>
        <w:t>Center for Public Policy Priorities, 7020 Easy Wind Drive - Austin, Texas 78752</w:t>
      </w:r>
      <w:r>
        <w:rPr>
          <w:rFonts w:asciiTheme="minorHAnsi" w:eastAsiaTheme="minorHAnsi" w:hAnsiTheme="minorHAnsi" w:cs="Arial"/>
          <w:szCs w:val="24"/>
        </w:rPr>
        <w:t xml:space="preserve">.  </w:t>
      </w:r>
      <w:r w:rsidR="00247E09" w:rsidRPr="0091590F">
        <w:rPr>
          <w:rFonts w:asciiTheme="minorHAnsi" w:eastAsiaTheme="minorHAnsi" w:hAnsiTheme="minorHAnsi" w:cs="Arial"/>
          <w:szCs w:val="24"/>
        </w:rPr>
        <w:t xml:space="preserve">Phone (512) 320-0222 (ext.102) – </w:t>
      </w:r>
      <w:hyperlink r:id="rId11" w:history="1">
        <w:r w:rsidR="00247E09" w:rsidRPr="0091590F">
          <w:rPr>
            <w:rFonts w:asciiTheme="minorHAnsi" w:eastAsiaTheme="minorHAnsi" w:hAnsiTheme="minorHAnsi" w:cs="Arial"/>
            <w:color w:val="0000FF"/>
            <w:szCs w:val="24"/>
            <w:u w:val="single"/>
          </w:rPr>
          <w:t>www.cppp.org</w:t>
        </w:r>
      </w:hyperlink>
      <w:r w:rsidR="00237C35">
        <w:rPr>
          <w:rFonts w:asciiTheme="minorHAnsi" w:eastAsiaTheme="minorHAnsi" w:hAnsiTheme="minorHAnsi" w:cs="Arial"/>
          <w:color w:val="0000FF"/>
          <w:szCs w:val="24"/>
          <w:u w:val="single"/>
        </w:rPr>
        <w:t>.</w:t>
      </w:r>
    </w:p>
    <w:sectPr w:rsidR="00247E09" w:rsidRPr="0091590F" w:rsidSect="00237C35">
      <w:headerReference w:type="default" r:id="rId12"/>
      <w:footerReference w:type="even" r:id="rId13"/>
      <w:footerReference w:type="default" r:id="rId14"/>
      <w:headerReference w:type="first" r:id="rId15"/>
      <w:footerReference w:type="first" r:id="rId16"/>
      <w:pgSz w:w="12240" w:h="15840"/>
      <w:pgMar w:top="1440" w:right="1296" w:bottom="1440" w:left="1296" w:header="720" w:footer="83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91B" w:rsidRDefault="00F9391B">
      <w:r>
        <w:separator/>
      </w:r>
    </w:p>
  </w:endnote>
  <w:endnote w:type="continuationSeparator" w:id="0">
    <w:p w:rsidR="00F9391B" w:rsidRDefault="00F9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panose1 w:val="000005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73" w:rsidRDefault="00731873" w:rsidP="00DA43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1873" w:rsidRDefault="00731873" w:rsidP="001C7D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649206"/>
      <w:docPartObj>
        <w:docPartGallery w:val="Page Numbers (Bottom of Page)"/>
        <w:docPartUnique/>
      </w:docPartObj>
    </w:sdtPr>
    <w:sdtEndPr>
      <w:rPr>
        <w:noProof/>
      </w:rPr>
    </w:sdtEndPr>
    <w:sdtContent>
      <w:p w:rsidR="0050697E" w:rsidRDefault="0050697E">
        <w:pPr>
          <w:pStyle w:val="Footer"/>
          <w:jc w:val="right"/>
        </w:pPr>
        <w:r w:rsidRPr="0050697E">
          <w:rPr>
            <w:rFonts w:asciiTheme="minorHAnsi" w:hAnsiTheme="minorHAnsi"/>
          </w:rPr>
          <w:fldChar w:fldCharType="begin"/>
        </w:r>
        <w:r w:rsidRPr="0050697E">
          <w:rPr>
            <w:rFonts w:asciiTheme="minorHAnsi" w:hAnsiTheme="minorHAnsi"/>
          </w:rPr>
          <w:instrText xml:space="preserve"> PAGE   \* MERGEFORMAT </w:instrText>
        </w:r>
        <w:r w:rsidRPr="0050697E">
          <w:rPr>
            <w:rFonts w:asciiTheme="minorHAnsi" w:hAnsiTheme="minorHAnsi"/>
          </w:rPr>
          <w:fldChar w:fldCharType="separate"/>
        </w:r>
        <w:r w:rsidR="00F168D3">
          <w:rPr>
            <w:rFonts w:asciiTheme="minorHAnsi" w:hAnsiTheme="minorHAnsi"/>
            <w:noProof/>
          </w:rPr>
          <w:t>4</w:t>
        </w:r>
        <w:r w:rsidRPr="0050697E">
          <w:rPr>
            <w:rFonts w:asciiTheme="minorHAnsi" w:hAnsiTheme="minorHAns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73" w:rsidRPr="003B4DC3" w:rsidRDefault="00731873" w:rsidP="00F36FA3">
    <w:pPr>
      <w:pStyle w:val="Heading1"/>
      <w:tabs>
        <w:tab w:val="left" w:pos="7361"/>
      </w:tabs>
      <w:rPr>
        <w:sz w:val="14"/>
      </w:rPr>
    </w:pPr>
    <w:r>
      <w:rPr>
        <w:color w:val="0054A0"/>
        <w:sz w:val="14"/>
      </w:rPr>
      <w:t>7020 Easy Wind Drive, Suite 200</w:t>
    </w:r>
    <w:r w:rsidRPr="000A1222">
      <w:rPr>
        <w:color w:val="0054A0"/>
        <w:sz w:val="14"/>
      </w:rPr>
      <w:t xml:space="preserve"> </w:t>
    </w:r>
    <w:r>
      <w:rPr>
        <w:color w:val="0054A0"/>
        <w:sz w:val="14"/>
      </w:rPr>
      <w:t>• Austin, Texas 7875</w:t>
    </w:r>
    <w:r w:rsidRPr="000A1222">
      <w:rPr>
        <w:color w:val="0054A0"/>
        <w:sz w:val="14"/>
      </w:rPr>
      <w:t>2 •</w:t>
    </w:r>
    <w:r w:rsidRPr="00F87B1B">
      <w:rPr>
        <w:sz w:val="14"/>
      </w:rPr>
      <w:t xml:space="preserve"> </w:t>
    </w:r>
    <w:r w:rsidRPr="00F87B1B">
      <w:rPr>
        <w:color w:val="BF6412"/>
        <w:sz w:val="14"/>
      </w:rPr>
      <w:t>T</w:t>
    </w:r>
    <w:r w:rsidRPr="00F87B1B">
      <w:rPr>
        <w:sz w:val="14"/>
      </w:rPr>
      <w:t xml:space="preserve"> </w:t>
    </w:r>
    <w:r w:rsidRPr="000A1222">
      <w:rPr>
        <w:color w:val="0054A0"/>
        <w:sz w:val="14"/>
      </w:rPr>
      <w:t>512/320-0222 •</w:t>
    </w:r>
    <w:r w:rsidRPr="00F87B1B">
      <w:rPr>
        <w:sz w:val="14"/>
      </w:rPr>
      <w:t xml:space="preserve"> </w:t>
    </w:r>
    <w:r w:rsidRPr="00F87B1B">
      <w:rPr>
        <w:color w:val="BF6412"/>
        <w:sz w:val="14"/>
      </w:rPr>
      <w:t>F</w:t>
    </w:r>
    <w:r>
      <w:rPr>
        <w:sz w:val="14"/>
      </w:rPr>
      <w:t xml:space="preserve"> </w:t>
    </w:r>
    <w:r w:rsidRPr="000A1222">
      <w:rPr>
        <w:color w:val="0054A0"/>
        <w:sz w:val="14"/>
      </w:rPr>
      <w:t>512/320-0227 • www.cppp.org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91B" w:rsidRDefault="00F9391B">
      <w:pPr>
        <w:pStyle w:val="BodyText"/>
        <w:rPr>
          <w:rFonts w:ascii="Times" w:hAnsi="Times"/>
          <w:sz w:val="24"/>
        </w:rPr>
      </w:pPr>
      <w:r>
        <w:separator/>
      </w:r>
    </w:p>
  </w:footnote>
  <w:footnote w:type="continuationSeparator" w:id="0">
    <w:p w:rsidR="00F9391B" w:rsidRDefault="00F9391B">
      <w:r>
        <w:continuationSeparator/>
      </w:r>
    </w:p>
  </w:footnote>
  <w:footnote w:type="continuationNotice" w:id="1">
    <w:p w:rsidR="00F9391B" w:rsidRDefault="00F939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73" w:rsidRDefault="008973F8">
    <w:pPr>
      <w:tabs>
        <w:tab w:val="center" w:pos="5400"/>
        <w:tab w:val="right" w:pos="10800"/>
      </w:tabs>
    </w:pPr>
    <w:r>
      <w:rPr>
        <w:noProof/>
      </w:rPr>
      <w:drawing>
        <wp:inline distT="0" distB="0" distL="0" distR="0" wp14:anchorId="124E8D36" wp14:editId="6A8C11F4">
          <wp:extent cx="6864350" cy="158750"/>
          <wp:effectExtent l="0" t="0" r="0" b="0"/>
          <wp:docPr id="2" name="Picture 2" descr="BLK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K_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350" cy="1587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73" w:rsidRPr="00F168D3" w:rsidRDefault="00F168D3" w:rsidP="00F36FA3">
    <w:pPr>
      <w:pStyle w:val="Header"/>
      <w:rPr>
        <w:b/>
      </w:rPr>
    </w:pPr>
    <w:r>
      <w:rPr>
        <w:noProof/>
      </w:rPr>
      <w:drawing>
        <wp:inline distT="0" distB="0" distL="0" distR="0" wp14:anchorId="7BE95228" wp14:editId="4101CE21">
          <wp:extent cx="3048000" cy="21014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6_CPPP_logo_Main_01-01-01-01.png"/>
                  <pic:cNvPicPr/>
                </pic:nvPicPr>
                <pic:blipFill>
                  <a:blip r:embed="rId1">
                    <a:extLst>
                      <a:ext uri="{28A0092B-C50C-407E-A947-70E740481C1C}">
                        <a14:useLocalDpi xmlns:a14="http://schemas.microsoft.com/office/drawing/2010/main" val="0"/>
                      </a:ext>
                    </a:extLst>
                  </a:blip>
                  <a:stretch>
                    <a:fillRect/>
                  </a:stretch>
                </pic:blipFill>
                <pic:spPr>
                  <a:xfrm>
                    <a:off x="0" y="0"/>
                    <a:ext cx="3351069" cy="2310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478B7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multilevel"/>
    <w:tmpl w:val="1696E1CC"/>
    <w:lvl w:ilvl="0">
      <w:start w:val="1"/>
      <w:numFmt w:val="bullet"/>
      <w:pStyle w:val="ListBullet"/>
      <w:lvlText w:val="•"/>
      <w:lvlJc w:val="left"/>
      <w:pPr>
        <w:ind w:left="547" w:hanging="187"/>
      </w:pPr>
      <w:rPr>
        <w:rFonts w:ascii="Times New Roman" w:hAnsi="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Bullet"/>
      <w:lvlText w:val="%2."/>
      <w:lvlJc w:val="left"/>
      <w:pPr>
        <w:ind w:left="1440" w:hanging="360"/>
      </w:pPr>
    </w:lvl>
    <w:lvl w:ilvl="2">
      <w:start w:val="1"/>
      <w:numFmt w:val="lowerRoman"/>
      <w:pStyle w:val="ListBullet"/>
      <w:lvlText w:val="%3."/>
      <w:lvlJc w:val="right"/>
      <w:pPr>
        <w:ind w:left="2160" w:hanging="180"/>
      </w:pPr>
    </w:lvl>
    <w:lvl w:ilvl="3">
      <w:start w:val="1"/>
      <w:numFmt w:val="decimal"/>
      <w:pStyle w:val="ListBullet"/>
      <w:lvlText w:val="%4."/>
      <w:lvlJc w:val="left"/>
      <w:pPr>
        <w:ind w:left="2880" w:hanging="360"/>
      </w:pPr>
    </w:lvl>
    <w:lvl w:ilvl="4">
      <w:start w:val="1"/>
      <w:numFmt w:val="lowerLetter"/>
      <w:pStyle w:val="ListBullet"/>
      <w:lvlText w:val="%5."/>
      <w:lvlJc w:val="left"/>
      <w:pPr>
        <w:ind w:left="3600" w:hanging="360"/>
      </w:pPr>
    </w:lvl>
    <w:lvl w:ilvl="5">
      <w:start w:val="1"/>
      <w:numFmt w:val="lowerRoman"/>
      <w:pStyle w:val="ListBullet"/>
      <w:lvlText w:val="%6."/>
      <w:lvlJc w:val="right"/>
      <w:pPr>
        <w:ind w:left="4320" w:hanging="180"/>
      </w:pPr>
    </w:lvl>
    <w:lvl w:ilvl="6">
      <w:start w:val="1"/>
      <w:numFmt w:val="decimal"/>
      <w:pStyle w:val="ListBullet"/>
      <w:lvlText w:val="%7."/>
      <w:lvlJc w:val="left"/>
      <w:pPr>
        <w:ind w:left="5040" w:hanging="360"/>
      </w:pPr>
    </w:lvl>
    <w:lvl w:ilvl="7">
      <w:start w:val="1"/>
      <w:numFmt w:val="lowerLetter"/>
      <w:pStyle w:val="ListBullet"/>
      <w:lvlText w:val="%8."/>
      <w:lvlJc w:val="left"/>
      <w:pPr>
        <w:ind w:left="5760" w:hanging="360"/>
      </w:pPr>
    </w:lvl>
    <w:lvl w:ilvl="8">
      <w:start w:val="1"/>
      <w:numFmt w:val="lowerRoman"/>
      <w:pStyle w:val="ListBullet"/>
      <w:lvlText w:val="%9."/>
      <w:lvlJc w:val="right"/>
      <w:pPr>
        <w:ind w:left="6480" w:hanging="180"/>
      </w:pPr>
    </w:lvl>
  </w:abstractNum>
  <w:abstractNum w:abstractNumId="2" w15:restartNumberingAfterBreak="0">
    <w:nsid w:val="02727301"/>
    <w:multiLevelType w:val="hybridMultilevel"/>
    <w:tmpl w:val="058ADF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04BA7A1C"/>
    <w:multiLevelType w:val="hybridMultilevel"/>
    <w:tmpl w:val="C4543FD2"/>
    <w:lvl w:ilvl="0" w:tplc="B0B6D39C">
      <w:start w:val="1"/>
      <w:numFmt w:val="bullet"/>
      <w:lvlText w:val=""/>
      <w:lvlJc w:val="left"/>
      <w:pPr>
        <w:ind w:left="720" w:hanging="360"/>
      </w:pPr>
      <w:rPr>
        <w:rFonts w:ascii="Symbol" w:hAnsi="Symbol" w:hint="default"/>
      </w:rPr>
    </w:lvl>
    <w:lvl w:ilvl="1" w:tplc="972E57F8" w:tentative="1">
      <w:start w:val="1"/>
      <w:numFmt w:val="bullet"/>
      <w:lvlText w:val="o"/>
      <w:lvlJc w:val="left"/>
      <w:pPr>
        <w:ind w:left="1440" w:hanging="360"/>
      </w:pPr>
      <w:rPr>
        <w:rFonts w:ascii="Courier New" w:hAnsi="Courier New" w:cs="Courier New" w:hint="default"/>
      </w:rPr>
    </w:lvl>
    <w:lvl w:ilvl="2" w:tplc="5A447DFE" w:tentative="1">
      <w:start w:val="1"/>
      <w:numFmt w:val="bullet"/>
      <w:lvlText w:val=""/>
      <w:lvlJc w:val="left"/>
      <w:pPr>
        <w:ind w:left="2160" w:hanging="360"/>
      </w:pPr>
      <w:rPr>
        <w:rFonts w:ascii="Wingdings" w:hAnsi="Wingdings" w:hint="default"/>
      </w:rPr>
    </w:lvl>
    <w:lvl w:ilvl="3" w:tplc="DB724FE4" w:tentative="1">
      <w:start w:val="1"/>
      <w:numFmt w:val="bullet"/>
      <w:lvlText w:val=""/>
      <w:lvlJc w:val="left"/>
      <w:pPr>
        <w:ind w:left="2880" w:hanging="360"/>
      </w:pPr>
      <w:rPr>
        <w:rFonts w:ascii="Symbol" w:hAnsi="Symbol" w:hint="default"/>
      </w:rPr>
    </w:lvl>
    <w:lvl w:ilvl="4" w:tplc="746CC9AE" w:tentative="1">
      <w:start w:val="1"/>
      <w:numFmt w:val="bullet"/>
      <w:lvlText w:val="o"/>
      <w:lvlJc w:val="left"/>
      <w:pPr>
        <w:ind w:left="3600" w:hanging="360"/>
      </w:pPr>
      <w:rPr>
        <w:rFonts w:ascii="Courier New" w:hAnsi="Courier New" w:cs="Courier New" w:hint="default"/>
      </w:rPr>
    </w:lvl>
    <w:lvl w:ilvl="5" w:tplc="CCAC7FFC" w:tentative="1">
      <w:start w:val="1"/>
      <w:numFmt w:val="bullet"/>
      <w:lvlText w:val=""/>
      <w:lvlJc w:val="left"/>
      <w:pPr>
        <w:ind w:left="4320" w:hanging="360"/>
      </w:pPr>
      <w:rPr>
        <w:rFonts w:ascii="Wingdings" w:hAnsi="Wingdings" w:hint="default"/>
      </w:rPr>
    </w:lvl>
    <w:lvl w:ilvl="6" w:tplc="6C5200C0" w:tentative="1">
      <w:start w:val="1"/>
      <w:numFmt w:val="bullet"/>
      <w:lvlText w:val=""/>
      <w:lvlJc w:val="left"/>
      <w:pPr>
        <w:ind w:left="5040" w:hanging="360"/>
      </w:pPr>
      <w:rPr>
        <w:rFonts w:ascii="Symbol" w:hAnsi="Symbol" w:hint="default"/>
      </w:rPr>
    </w:lvl>
    <w:lvl w:ilvl="7" w:tplc="04908116" w:tentative="1">
      <w:start w:val="1"/>
      <w:numFmt w:val="bullet"/>
      <w:lvlText w:val="o"/>
      <w:lvlJc w:val="left"/>
      <w:pPr>
        <w:ind w:left="5760" w:hanging="360"/>
      </w:pPr>
      <w:rPr>
        <w:rFonts w:ascii="Courier New" w:hAnsi="Courier New" w:cs="Courier New" w:hint="default"/>
      </w:rPr>
    </w:lvl>
    <w:lvl w:ilvl="8" w:tplc="B5A4E6F6" w:tentative="1">
      <w:start w:val="1"/>
      <w:numFmt w:val="bullet"/>
      <w:lvlText w:val=""/>
      <w:lvlJc w:val="left"/>
      <w:pPr>
        <w:ind w:left="6480" w:hanging="360"/>
      </w:pPr>
      <w:rPr>
        <w:rFonts w:ascii="Wingdings" w:hAnsi="Wingdings" w:hint="default"/>
      </w:rPr>
    </w:lvl>
  </w:abstractNum>
  <w:abstractNum w:abstractNumId="4" w15:restartNumberingAfterBreak="0">
    <w:nsid w:val="13B24996"/>
    <w:multiLevelType w:val="hybridMultilevel"/>
    <w:tmpl w:val="8DA67F42"/>
    <w:lvl w:ilvl="0" w:tplc="FA761124">
      <w:start w:val="1"/>
      <w:numFmt w:val="bullet"/>
      <w:lvlText w:val=""/>
      <w:lvlJc w:val="left"/>
      <w:pPr>
        <w:ind w:left="720" w:hanging="360"/>
      </w:pPr>
      <w:rPr>
        <w:rFonts w:ascii="Symbol" w:hAnsi="Symbol" w:hint="default"/>
      </w:rPr>
    </w:lvl>
    <w:lvl w:ilvl="1" w:tplc="FB00C770">
      <w:start w:val="1"/>
      <w:numFmt w:val="bullet"/>
      <w:lvlText w:val="o"/>
      <w:lvlJc w:val="left"/>
      <w:pPr>
        <w:ind w:left="1440" w:hanging="360"/>
      </w:pPr>
      <w:rPr>
        <w:rFonts w:ascii="Courier New" w:hAnsi="Courier New" w:cs="Courier New" w:hint="default"/>
      </w:rPr>
    </w:lvl>
    <w:lvl w:ilvl="2" w:tplc="C0C84B6E" w:tentative="1">
      <w:start w:val="1"/>
      <w:numFmt w:val="bullet"/>
      <w:lvlText w:val=""/>
      <w:lvlJc w:val="left"/>
      <w:pPr>
        <w:ind w:left="2160" w:hanging="360"/>
      </w:pPr>
      <w:rPr>
        <w:rFonts w:ascii="Wingdings" w:hAnsi="Wingdings" w:hint="default"/>
      </w:rPr>
    </w:lvl>
    <w:lvl w:ilvl="3" w:tplc="0F40578A" w:tentative="1">
      <w:start w:val="1"/>
      <w:numFmt w:val="bullet"/>
      <w:lvlText w:val=""/>
      <w:lvlJc w:val="left"/>
      <w:pPr>
        <w:ind w:left="2880" w:hanging="360"/>
      </w:pPr>
      <w:rPr>
        <w:rFonts w:ascii="Symbol" w:hAnsi="Symbol" w:hint="default"/>
      </w:rPr>
    </w:lvl>
    <w:lvl w:ilvl="4" w:tplc="D34201CC" w:tentative="1">
      <w:start w:val="1"/>
      <w:numFmt w:val="bullet"/>
      <w:lvlText w:val="o"/>
      <w:lvlJc w:val="left"/>
      <w:pPr>
        <w:ind w:left="3600" w:hanging="360"/>
      </w:pPr>
      <w:rPr>
        <w:rFonts w:ascii="Courier New" w:hAnsi="Courier New" w:cs="Courier New" w:hint="default"/>
      </w:rPr>
    </w:lvl>
    <w:lvl w:ilvl="5" w:tplc="2B2483C4" w:tentative="1">
      <w:start w:val="1"/>
      <w:numFmt w:val="bullet"/>
      <w:lvlText w:val=""/>
      <w:lvlJc w:val="left"/>
      <w:pPr>
        <w:ind w:left="4320" w:hanging="360"/>
      </w:pPr>
      <w:rPr>
        <w:rFonts w:ascii="Wingdings" w:hAnsi="Wingdings" w:hint="default"/>
      </w:rPr>
    </w:lvl>
    <w:lvl w:ilvl="6" w:tplc="603E9770" w:tentative="1">
      <w:start w:val="1"/>
      <w:numFmt w:val="bullet"/>
      <w:lvlText w:val=""/>
      <w:lvlJc w:val="left"/>
      <w:pPr>
        <w:ind w:left="5040" w:hanging="360"/>
      </w:pPr>
      <w:rPr>
        <w:rFonts w:ascii="Symbol" w:hAnsi="Symbol" w:hint="default"/>
      </w:rPr>
    </w:lvl>
    <w:lvl w:ilvl="7" w:tplc="154A063E" w:tentative="1">
      <w:start w:val="1"/>
      <w:numFmt w:val="bullet"/>
      <w:lvlText w:val="o"/>
      <w:lvlJc w:val="left"/>
      <w:pPr>
        <w:ind w:left="5760" w:hanging="360"/>
      </w:pPr>
      <w:rPr>
        <w:rFonts w:ascii="Courier New" w:hAnsi="Courier New" w:cs="Courier New" w:hint="default"/>
      </w:rPr>
    </w:lvl>
    <w:lvl w:ilvl="8" w:tplc="DF78B514" w:tentative="1">
      <w:start w:val="1"/>
      <w:numFmt w:val="bullet"/>
      <w:lvlText w:val=""/>
      <w:lvlJc w:val="left"/>
      <w:pPr>
        <w:ind w:left="6480" w:hanging="360"/>
      </w:pPr>
      <w:rPr>
        <w:rFonts w:ascii="Wingdings" w:hAnsi="Wingdings" w:hint="default"/>
      </w:rPr>
    </w:lvl>
  </w:abstractNum>
  <w:abstractNum w:abstractNumId="5" w15:restartNumberingAfterBreak="0">
    <w:nsid w:val="1BEA106F"/>
    <w:multiLevelType w:val="hybridMultilevel"/>
    <w:tmpl w:val="50C4D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AD"/>
    <w:rsid w:val="00003EB3"/>
    <w:rsid w:val="00007EE7"/>
    <w:rsid w:val="00011A00"/>
    <w:rsid w:val="000154F3"/>
    <w:rsid w:val="0004010C"/>
    <w:rsid w:val="000451C5"/>
    <w:rsid w:val="00047A32"/>
    <w:rsid w:val="00070619"/>
    <w:rsid w:val="000771D1"/>
    <w:rsid w:val="00090E80"/>
    <w:rsid w:val="000C016A"/>
    <w:rsid w:val="000D01A8"/>
    <w:rsid w:val="000D0931"/>
    <w:rsid w:val="000E13BB"/>
    <w:rsid w:val="000F3CB9"/>
    <w:rsid w:val="000F7A88"/>
    <w:rsid w:val="00111E41"/>
    <w:rsid w:val="001142E8"/>
    <w:rsid w:val="0011672B"/>
    <w:rsid w:val="00116ED5"/>
    <w:rsid w:val="00126507"/>
    <w:rsid w:val="00130B5F"/>
    <w:rsid w:val="00133F89"/>
    <w:rsid w:val="0015672C"/>
    <w:rsid w:val="001618F4"/>
    <w:rsid w:val="00165371"/>
    <w:rsid w:val="00171DB2"/>
    <w:rsid w:val="00194E2A"/>
    <w:rsid w:val="0019746D"/>
    <w:rsid w:val="001C7DDE"/>
    <w:rsid w:val="001E04FB"/>
    <w:rsid w:val="001F5F99"/>
    <w:rsid w:val="00202ECE"/>
    <w:rsid w:val="00207C35"/>
    <w:rsid w:val="00227192"/>
    <w:rsid w:val="00232DA4"/>
    <w:rsid w:val="00237C35"/>
    <w:rsid w:val="00247E09"/>
    <w:rsid w:val="0025295B"/>
    <w:rsid w:val="002677FA"/>
    <w:rsid w:val="002709E5"/>
    <w:rsid w:val="002763D1"/>
    <w:rsid w:val="0028241D"/>
    <w:rsid w:val="00297BCE"/>
    <w:rsid w:val="002A4E47"/>
    <w:rsid w:val="002C2BA2"/>
    <w:rsid w:val="002C59DF"/>
    <w:rsid w:val="002C7EA3"/>
    <w:rsid w:val="002D2408"/>
    <w:rsid w:val="002D31FB"/>
    <w:rsid w:val="002E2517"/>
    <w:rsid w:val="002E62AC"/>
    <w:rsid w:val="00302730"/>
    <w:rsid w:val="00314B71"/>
    <w:rsid w:val="003173E4"/>
    <w:rsid w:val="0036321A"/>
    <w:rsid w:val="00366792"/>
    <w:rsid w:val="0036763E"/>
    <w:rsid w:val="00381CE6"/>
    <w:rsid w:val="003822F8"/>
    <w:rsid w:val="00385AED"/>
    <w:rsid w:val="00390776"/>
    <w:rsid w:val="003A2B3F"/>
    <w:rsid w:val="003B7153"/>
    <w:rsid w:val="003C528A"/>
    <w:rsid w:val="003D3382"/>
    <w:rsid w:val="003E3813"/>
    <w:rsid w:val="004112BD"/>
    <w:rsid w:val="0041424D"/>
    <w:rsid w:val="00421C5B"/>
    <w:rsid w:val="004247BF"/>
    <w:rsid w:val="00434500"/>
    <w:rsid w:val="00434EFD"/>
    <w:rsid w:val="004404BA"/>
    <w:rsid w:val="00446355"/>
    <w:rsid w:val="00452935"/>
    <w:rsid w:val="00480028"/>
    <w:rsid w:val="0049021C"/>
    <w:rsid w:val="00490BD7"/>
    <w:rsid w:val="004C7C30"/>
    <w:rsid w:val="004D2391"/>
    <w:rsid w:val="004D5405"/>
    <w:rsid w:val="004E72F1"/>
    <w:rsid w:val="004F0223"/>
    <w:rsid w:val="00502B09"/>
    <w:rsid w:val="00505310"/>
    <w:rsid w:val="0050560A"/>
    <w:rsid w:val="0050697E"/>
    <w:rsid w:val="005167DA"/>
    <w:rsid w:val="005170EF"/>
    <w:rsid w:val="00523785"/>
    <w:rsid w:val="005365AC"/>
    <w:rsid w:val="005500FC"/>
    <w:rsid w:val="005562D2"/>
    <w:rsid w:val="00566728"/>
    <w:rsid w:val="00566CBA"/>
    <w:rsid w:val="00585A39"/>
    <w:rsid w:val="00590CEC"/>
    <w:rsid w:val="00592F05"/>
    <w:rsid w:val="0059343E"/>
    <w:rsid w:val="005A6490"/>
    <w:rsid w:val="005D6D9A"/>
    <w:rsid w:val="0061321D"/>
    <w:rsid w:val="006137AC"/>
    <w:rsid w:val="0061760C"/>
    <w:rsid w:val="00623972"/>
    <w:rsid w:val="00627E2B"/>
    <w:rsid w:val="00643125"/>
    <w:rsid w:val="00650C0A"/>
    <w:rsid w:val="00675015"/>
    <w:rsid w:val="006819A1"/>
    <w:rsid w:val="00686DBA"/>
    <w:rsid w:val="006B0133"/>
    <w:rsid w:val="006C6F23"/>
    <w:rsid w:val="006F76A2"/>
    <w:rsid w:val="00707554"/>
    <w:rsid w:val="00710702"/>
    <w:rsid w:val="00713EF2"/>
    <w:rsid w:val="00714EE4"/>
    <w:rsid w:val="00731873"/>
    <w:rsid w:val="00742303"/>
    <w:rsid w:val="00764ABA"/>
    <w:rsid w:val="00777390"/>
    <w:rsid w:val="00782312"/>
    <w:rsid w:val="007B7EB2"/>
    <w:rsid w:val="007C2A9E"/>
    <w:rsid w:val="007D47C9"/>
    <w:rsid w:val="007F156B"/>
    <w:rsid w:val="007F7C02"/>
    <w:rsid w:val="007F7E61"/>
    <w:rsid w:val="008013D5"/>
    <w:rsid w:val="008051B3"/>
    <w:rsid w:val="00840241"/>
    <w:rsid w:val="0085167E"/>
    <w:rsid w:val="0086186B"/>
    <w:rsid w:val="00864149"/>
    <w:rsid w:val="0086459F"/>
    <w:rsid w:val="00873173"/>
    <w:rsid w:val="008973F8"/>
    <w:rsid w:val="008A2D3C"/>
    <w:rsid w:val="008D1D6C"/>
    <w:rsid w:val="008E2EE5"/>
    <w:rsid w:val="008E73C4"/>
    <w:rsid w:val="008F5468"/>
    <w:rsid w:val="008F651E"/>
    <w:rsid w:val="00902DBD"/>
    <w:rsid w:val="00910A86"/>
    <w:rsid w:val="00911896"/>
    <w:rsid w:val="0091590F"/>
    <w:rsid w:val="00923F1E"/>
    <w:rsid w:val="009263C4"/>
    <w:rsid w:val="00946A1C"/>
    <w:rsid w:val="009519CD"/>
    <w:rsid w:val="009827FD"/>
    <w:rsid w:val="0099527F"/>
    <w:rsid w:val="00997E26"/>
    <w:rsid w:val="009A77B4"/>
    <w:rsid w:val="009B72FA"/>
    <w:rsid w:val="009C486E"/>
    <w:rsid w:val="009D2EB7"/>
    <w:rsid w:val="009E4AA8"/>
    <w:rsid w:val="009F5DF8"/>
    <w:rsid w:val="00A24413"/>
    <w:rsid w:val="00A322BC"/>
    <w:rsid w:val="00A45A59"/>
    <w:rsid w:val="00A64206"/>
    <w:rsid w:val="00A82BCD"/>
    <w:rsid w:val="00AA3509"/>
    <w:rsid w:val="00AA7409"/>
    <w:rsid w:val="00AC13E7"/>
    <w:rsid w:val="00AD5F31"/>
    <w:rsid w:val="00AD715D"/>
    <w:rsid w:val="00AE48F9"/>
    <w:rsid w:val="00AF41E3"/>
    <w:rsid w:val="00B0167F"/>
    <w:rsid w:val="00B201EA"/>
    <w:rsid w:val="00B32AE0"/>
    <w:rsid w:val="00B4487C"/>
    <w:rsid w:val="00B705B2"/>
    <w:rsid w:val="00B70B7F"/>
    <w:rsid w:val="00B729B9"/>
    <w:rsid w:val="00B731F1"/>
    <w:rsid w:val="00B76686"/>
    <w:rsid w:val="00BB38DE"/>
    <w:rsid w:val="00BB5346"/>
    <w:rsid w:val="00BB55C8"/>
    <w:rsid w:val="00BC2271"/>
    <w:rsid w:val="00BC58C0"/>
    <w:rsid w:val="00BD6797"/>
    <w:rsid w:val="00BE11AD"/>
    <w:rsid w:val="00BF12D1"/>
    <w:rsid w:val="00C240DD"/>
    <w:rsid w:val="00C24797"/>
    <w:rsid w:val="00C3597D"/>
    <w:rsid w:val="00C4721B"/>
    <w:rsid w:val="00C5782A"/>
    <w:rsid w:val="00C705F1"/>
    <w:rsid w:val="00C73F94"/>
    <w:rsid w:val="00C8019D"/>
    <w:rsid w:val="00C831D7"/>
    <w:rsid w:val="00C95B76"/>
    <w:rsid w:val="00CA0A7C"/>
    <w:rsid w:val="00CA2D75"/>
    <w:rsid w:val="00CB5A45"/>
    <w:rsid w:val="00CC7E01"/>
    <w:rsid w:val="00CE0465"/>
    <w:rsid w:val="00D22F34"/>
    <w:rsid w:val="00D23E33"/>
    <w:rsid w:val="00D361DE"/>
    <w:rsid w:val="00D37D48"/>
    <w:rsid w:val="00D42516"/>
    <w:rsid w:val="00D508F7"/>
    <w:rsid w:val="00D768B9"/>
    <w:rsid w:val="00D930CE"/>
    <w:rsid w:val="00DA4347"/>
    <w:rsid w:val="00DC3FA5"/>
    <w:rsid w:val="00DD1CE9"/>
    <w:rsid w:val="00DD6A2E"/>
    <w:rsid w:val="00E02540"/>
    <w:rsid w:val="00E22A09"/>
    <w:rsid w:val="00E4509E"/>
    <w:rsid w:val="00E64957"/>
    <w:rsid w:val="00E72C29"/>
    <w:rsid w:val="00E81AD7"/>
    <w:rsid w:val="00E82F02"/>
    <w:rsid w:val="00E85B78"/>
    <w:rsid w:val="00E86432"/>
    <w:rsid w:val="00E93168"/>
    <w:rsid w:val="00EA3B36"/>
    <w:rsid w:val="00EB257D"/>
    <w:rsid w:val="00EB384A"/>
    <w:rsid w:val="00EC1700"/>
    <w:rsid w:val="00EC33E4"/>
    <w:rsid w:val="00ED1F39"/>
    <w:rsid w:val="00ED3384"/>
    <w:rsid w:val="00EF0A7D"/>
    <w:rsid w:val="00F064DA"/>
    <w:rsid w:val="00F12627"/>
    <w:rsid w:val="00F168D3"/>
    <w:rsid w:val="00F16BB6"/>
    <w:rsid w:val="00F17DC2"/>
    <w:rsid w:val="00F17EEC"/>
    <w:rsid w:val="00F204AF"/>
    <w:rsid w:val="00F36FA3"/>
    <w:rsid w:val="00F51138"/>
    <w:rsid w:val="00F519BF"/>
    <w:rsid w:val="00F61003"/>
    <w:rsid w:val="00F9138F"/>
    <w:rsid w:val="00F9391B"/>
    <w:rsid w:val="00FA14BF"/>
    <w:rsid w:val="00FB6C80"/>
    <w:rsid w:val="00FE23F8"/>
    <w:rsid w:val="00FE2F0C"/>
    <w:rsid w:val="00FF2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5:chartTrackingRefBased/>
  <w15:docId w15:val="{699BF510-1BEA-4438-8A3C-A4C31FD9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EB3"/>
    <w:rPr>
      <w:rFonts w:ascii="AGaramond" w:hAnsi="AGaramond"/>
      <w:sz w:val="24"/>
    </w:rPr>
  </w:style>
  <w:style w:type="paragraph" w:styleId="Heading1">
    <w:name w:val="heading 1"/>
    <w:basedOn w:val="Normal"/>
    <w:next w:val="Normal"/>
    <w:qFormat/>
    <w:rsid w:val="00F402EA"/>
    <w:pPr>
      <w:keepNext/>
      <w:spacing w:line="320" w:lineRule="exact"/>
      <w:outlineLvl w:val="0"/>
    </w:pPr>
    <w:rPr>
      <w:rFonts w:ascii="Arial" w:hAnsi="Arial"/>
      <w:b/>
    </w:rPr>
  </w:style>
  <w:style w:type="paragraph" w:styleId="Heading2">
    <w:name w:val="heading 2"/>
    <w:basedOn w:val="Normal"/>
    <w:next w:val="Normal"/>
    <w:qFormat/>
    <w:rsid w:val="00F402EA"/>
    <w:pPr>
      <w:keepNext/>
      <w:spacing w:line="320" w:lineRule="exact"/>
      <w:outlineLvl w:val="1"/>
    </w:pPr>
    <w:rPr>
      <w:rFonts w:ascii="Arial" w:hAnsi="Arial"/>
    </w:rPr>
  </w:style>
  <w:style w:type="paragraph" w:styleId="Heading3">
    <w:name w:val="heading 3"/>
    <w:basedOn w:val="Normal"/>
    <w:next w:val="Normal"/>
    <w:qFormat/>
    <w:rsid w:val="00F402EA"/>
    <w:pPr>
      <w:keepNext/>
      <w:spacing w:line="320" w:lineRule="exact"/>
      <w:outlineLvl w:val="2"/>
    </w:pPr>
    <w:rPr>
      <w:rFonts w:ascii="Arial" w:hAnsi="Arial"/>
      <w:b/>
      <w:sz w:val="22"/>
      <w:szCs w:val="26"/>
    </w:rPr>
  </w:style>
  <w:style w:type="paragraph" w:styleId="Heading4">
    <w:name w:val="heading 4"/>
    <w:basedOn w:val="Normal"/>
    <w:next w:val="Normal"/>
    <w:qFormat/>
    <w:rsid w:val="00F402EA"/>
    <w:pPr>
      <w:keepNext/>
      <w:spacing w:line="320" w:lineRule="exact"/>
      <w:outlineLvl w:val="3"/>
    </w:pPr>
    <w:rPr>
      <w:rFonts w:ascii="Arial" w:hAnsi="Arial"/>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00F21"/>
    <w:pPr>
      <w:tabs>
        <w:tab w:val="center" w:pos="4320"/>
        <w:tab w:val="right" w:pos="8640"/>
      </w:tabs>
    </w:pPr>
    <w:rPr>
      <w:sz w:val="18"/>
    </w:rPr>
  </w:style>
  <w:style w:type="character" w:styleId="Hyperlink">
    <w:name w:val="Hyperlink"/>
    <w:rsid w:val="00170430"/>
    <w:rPr>
      <w:color w:val="0000FF"/>
      <w:u w:val="single"/>
    </w:rPr>
  </w:style>
  <w:style w:type="paragraph" w:styleId="ListBullet">
    <w:name w:val="List Bullet"/>
    <w:basedOn w:val="BodyText"/>
    <w:autoRedefine/>
    <w:rsid w:val="00B74816"/>
    <w:pPr>
      <w:numPr>
        <w:numId w:val="1"/>
      </w:numPr>
      <w:spacing w:line="320" w:lineRule="exact"/>
    </w:pPr>
  </w:style>
  <w:style w:type="paragraph" w:styleId="BodyText">
    <w:name w:val="Body Text"/>
    <w:basedOn w:val="Normal"/>
    <w:rsid w:val="003D53FF"/>
    <w:pPr>
      <w:spacing w:after="160" w:line="320" w:lineRule="atLeast"/>
      <w:jc w:val="both"/>
    </w:pPr>
    <w:rPr>
      <w:sz w:val="22"/>
    </w:rPr>
  </w:style>
  <w:style w:type="paragraph" w:customStyle="1" w:styleId="Noparagraphstyle">
    <w:name w:val="[No paragraph style]"/>
    <w:pPr>
      <w:widowControl w:val="0"/>
      <w:autoSpaceDE w:val="0"/>
      <w:autoSpaceDN w:val="0"/>
      <w:adjustRightInd w:val="0"/>
      <w:spacing w:line="288" w:lineRule="auto"/>
      <w:textAlignment w:val="center"/>
    </w:pPr>
    <w:rPr>
      <w:rFonts w:ascii="AGaramond" w:hAnsi="AGaramond"/>
      <w:color w:val="000000"/>
      <w:sz w:val="24"/>
    </w:rPr>
  </w:style>
  <w:style w:type="character" w:styleId="CommentReference">
    <w:name w:val="annotation reference"/>
    <w:basedOn w:val="DefaultParagraphFont"/>
    <w:uiPriority w:val="99"/>
    <w:semiHidden/>
    <w:unhideWhenUsed/>
    <w:rsid w:val="0004010C"/>
    <w:rPr>
      <w:sz w:val="16"/>
      <w:szCs w:val="16"/>
    </w:rPr>
  </w:style>
  <w:style w:type="paragraph" w:styleId="EndnoteText">
    <w:name w:val="endnote text"/>
    <w:basedOn w:val="BodyText"/>
    <w:rsid w:val="008977D2"/>
    <w:pPr>
      <w:spacing w:before="120" w:after="0" w:line="240" w:lineRule="auto"/>
    </w:pPr>
    <w:rPr>
      <w:sz w:val="18"/>
    </w:rPr>
  </w:style>
  <w:style w:type="character" w:styleId="EndnoteReference">
    <w:name w:val="endnote reference"/>
    <w:rPr>
      <w:rFonts w:ascii="AGaramond" w:hAnsi="AGaramond"/>
      <w:vertAlign w:val="superscript"/>
    </w:rPr>
  </w:style>
  <w:style w:type="character" w:styleId="PageNumber">
    <w:name w:val="page number"/>
    <w:rsid w:val="00AF6A05"/>
    <w:rPr>
      <w:rFonts w:ascii="Arial" w:hAnsi="Arial"/>
      <w:b/>
      <w:sz w:val="18"/>
    </w:rPr>
  </w:style>
  <w:style w:type="paragraph" w:styleId="Header">
    <w:name w:val="header"/>
    <w:basedOn w:val="Normal"/>
    <w:rsid w:val="000A711B"/>
    <w:pPr>
      <w:tabs>
        <w:tab w:val="center" w:pos="4320"/>
        <w:tab w:val="right" w:pos="8640"/>
      </w:tabs>
    </w:pPr>
  </w:style>
  <w:style w:type="paragraph" w:customStyle="1" w:styleId="LongQuote">
    <w:name w:val="Long Quote"/>
    <w:basedOn w:val="BodyText"/>
    <w:rsid w:val="00DA627C"/>
    <w:pPr>
      <w:ind w:left="360" w:right="360"/>
    </w:pPr>
    <w:rPr>
      <w:sz w:val="20"/>
    </w:rPr>
  </w:style>
  <w:style w:type="paragraph" w:styleId="Title">
    <w:name w:val="Title"/>
    <w:basedOn w:val="Normal"/>
    <w:qFormat/>
    <w:rsid w:val="003F1935"/>
    <w:pPr>
      <w:spacing w:before="320" w:after="160"/>
      <w:jc w:val="center"/>
      <w:outlineLvl w:val="0"/>
    </w:pPr>
    <w:rPr>
      <w:rFonts w:ascii="Arial" w:hAnsi="Arial"/>
      <w:b/>
      <w:caps/>
      <w:kern w:val="28"/>
      <w:sz w:val="32"/>
      <w:szCs w:val="32"/>
    </w:rPr>
  </w:style>
  <w:style w:type="paragraph" w:styleId="CommentText">
    <w:name w:val="annotation text"/>
    <w:basedOn w:val="Normal"/>
    <w:link w:val="CommentTextChar"/>
    <w:uiPriority w:val="99"/>
    <w:semiHidden/>
    <w:unhideWhenUsed/>
    <w:rsid w:val="0004010C"/>
    <w:rPr>
      <w:sz w:val="20"/>
    </w:rPr>
  </w:style>
  <w:style w:type="character" w:customStyle="1" w:styleId="CommentTextChar">
    <w:name w:val="Comment Text Char"/>
    <w:basedOn w:val="DefaultParagraphFont"/>
    <w:link w:val="CommentText"/>
    <w:uiPriority w:val="99"/>
    <w:semiHidden/>
    <w:rsid w:val="0004010C"/>
    <w:rPr>
      <w:rFonts w:ascii="AGaramond" w:hAnsi="AGaramond"/>
    </w:rPr>
  </w:style>
  <w:style w:type="paragraph" w:customStyle="1" w:styleId="Source">
    <w:name w:val="Source"/>
    <w:basedOn w:val="BodyText"/>
    <w:qFormat/>
    <w:rsid w:val="005E2B8D"/>
    <w:pPr>
      <w:spacing w:line="160" w:lineRule="exact"/>
      <w:jc w:val="center"/>
    </w:pPr>
    <w:rPr>
      <w:b/>
      <w:sz w:val="16"/>
    </w:rPr>
  </w:style>
  <w:style w:type="paragraph" w:styleId="CommentSubject">
    <w:name w:val="annotation subject"/>
    <w:basedOn w:val="CommentText"/>
    <w:next w:val="CommentText"/>
    <w:link w:val="CommentSubjectChar"/>
    <w:uiPriority w:val="99"/>
    <w:semiHidden/>
    <w:unhideWhenUsed/>
    <w:rsid w:val="0004010C"/>
    <w:rPr>
      <w:b/>
      <w:bCs/>
    </w:rPr>
  </w:style>
  <w:style w:type="character" w:customStyle="1" w:styleId="CommentSubjectChar">
    <w:name w:val="Comment Subject Char"/>
    <w:basedOn w:val="CommentTextChar"/>
    <w:link w:val="CommentSubject"/>
    <w:uiPriority w:val="99"/>
    <w:semiHidden/>
    <w:rsid w:val="0004010C"/>
    <w:rPr>
      <w:rFonts w:ascii="AGaramond" w:hAnsi="AGaramond"/>
      <w:b/>
      <w:bCs/>
    </w:rPr>
  </w:style>
  <w:style w:type="paragraph" w:styleId="BalloonText">
    <w:name w:val="Balloon Text"/>
    <w:basedOn w:val="Normal"/>
    <w:link w:val="BalloonTextChar"/>
    <w:uiPriority w:val="99"/>
    <w:semiHidden/>
    <w:unhideWhenUsed/>
    <w:rsid w:val="000401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10C"/>
    <w:rPr>
      <w:rFonts w:ascii="Segoe UI" w:hAnsi="Segoe UI" w:cs="Segoe UI"/>
      <w:sz w:val="18"/>
      <w:szCs w:val="18"/>
    </w:rPr>
  </w:style>
  <w:style w:type="paragraph" w:styleId="ListParagraph">
    <w:name w:val="List Paragraph"/>
    <w:basedOn w:val="Normal"/>
    <w:uiPriority w:val="34"/>
    <w:qFormat/>
    <w:rsid w:val="0061321D"/>
    <w:pPr>
      <w:ind w:left="720"/>
    </w:pPr>
    <w:rPr>
      <w:rFonts w:ascii="Calibri" w:eastAsiaTheme="minorHAnsi" w:hAnsi="Calibri"/>
      <w:sz w:val="22"/>
      <w:szCs w:val="22"/>
    </w:rPr>
  </w:style>
  <w:style w:type="character" w:customStyle="1" w:styleId="FooterChar">
    <w:name w:val="Footer Char"/>
    <w:basedOn w:val="DefaultParagraphFont"/>
    <w:link w:val="Footer"/>
    <w:uiPriority w:val="99"/>
    <w:rsid w:val="0050697E"/>
    <w:rPr>
      <w:rFonts w:ascii="AGaramond" w:hAnsi="AGaramond"/>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010878">
      <w:bodyDiv w:val="1"/>
      <w:marLeft w:val="0"/>
      <w:marRight w:val="0"/>
      <w:marTop w:val="0"/>
      <w:marBottom w:val="0"/>
      <w:divBdr>
        <w:top w:val="none" w:sz="0" w:space="0" w:color="auto"/>
        <w:left w:val="none" w:sz="0" w:space="0" w:color="auto"/>
        <w:bottom w:val="none" w:sz="0" w:space="0" w:color="auto"/>
        <w:right w:val="none" w:sz="0" w:space="0" w:color="auto"/>
      </w:divBdr>
    </w:div>
    <w:div w:id="1422215565">
      <w:bodyDiv w:val="1"/>
      <w:marLeft w:val="0"/>
      <w:marRight w:val="0"/>
      <w:marTop w:val="0"/>
      <w:marBottom w:val="0"/>
      <w:divBdr>
        <w:top w:val="none" w:sz="0" w:space="0" w:color="auto"/>
        <w:left w:val="none" w:sz="0" w:space="0" w:color="auto"/>
        <w:bottom w:val="none" w:sz="0" w:space="0" w:color="auto"/>
        <w:right w:val="none" w:sz="0" w:space="0" w:color="auto"/>
      </w:divBdr>
    </w:div>
    <w:div w:id="16460825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hhsc.state.tx.us/news/presentations/2015/050715-Hospital-Financ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pp.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unkelberg@cppp.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AEB1D-05F9-4D0E-AB07-6F2A701E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2053</Words>
  <Characters>11783</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HEADER 1 HERE</vt:lpstr>
    </vt:vector>
  </TitlesOfParts>
  <Company>Square Foot Studio</Company>
  <LinksUpToDate>false</LinksUpToDate>
  <CharactersWithSpaces>13809</CharactersWithSpaces>
  <SharedDoc>false</SharedDoc>
  <HLinks>
    <vt:vector size="30" baseType="variant">
      <vt:variant>
        <vt:i4>5570677</vt:i4>
      </vt:variant>
      <vt:variant>
        <vt:i4>12</vt:i4>
      </vt:variant>
      <vt:variant>
        <vt:i4>0</vt:i4>
      </vt:variant>
      <vt:variant>
        <vt:i4>5</vt:i4>
      </vt:variant>
      <vt:variant>
        <vt:lpwstr>mailto:dunkelberg@cppp.org</vt:lpwstr>
      </vt:variant>
      <vt:variant>
        <vt:lpwstr/>
      </vt:variant>
      <vt:variant>
        <vt:i4>4915288</vt:i4>
      </vt:variant>
      <vt:variant>
        <vt:i4>9</vt:i4>
      </vt:variant>
      <vt:variant>
        <vt:i4>0</vt:i4>
      </vt:variant>
      <vt:variant>
        <vt:i4>5</vt:i4>
      </vt:variant>
      <vt:variant>
        <vt:lpwstr>http://www.cppp.org/</vt:lpwstr>
      </vt:variant>
      <vt:variant>
        <vt:lpwstr/>
      </vt:variant>
      <vt:variant>
        <vt:i4>5832726</vt:i4>
      </vt:variant>
      <vt:variant>
        <vt:i4>6</vt:i4>
      </vt:variant>
      <vt:variant>
        <vt:i4>0</vt:i4>
      </vt:variant>
      <vt:variant>
        <vt:i4>5</vt:i4>
      </vt:variant>
      <vt:variant>
        <vt:lpwstr>http://www.covertexasnow.org/</vt:lpwstr>
      </vt:variant>
      <vt:variant>
        <vt:lpwstr/>
      </vt:variant>
      <vt:variant>
        <vt:i4>4128814</vt:i4>
      </vt:variant>
      <vt:variant>
        <vt:i4>3</vt:i4>
      </vt:variant>
      <vt:variant>
        <vt:i4>0</vt:i4>
      </vt:variant>
      <vt:variant>
        <vt:i4>5</vt:i4>
      </vt:variant>
      <vt:variant>
        <vt:lpwstr>http://texaswellandhealthy.org/</vt:lpwstr>
      </vt:variant>
      <vt:variant>
        <vt:lpwstr/>
      </vt:variant>
      <vt:variant>
        <vt:i4>4456450</vt:i4>
      </vt:variant>
      <vt:variant>
        <vt:i4>0</vt:i4>
      </vt:variant>
      <vt:variant>
        <vt:i4>0</vt:i4>
      </vt:variant>
      <vt:variant>
        <vt:i4>5</vt:i4>
      </vt:variant>
      <vt:variant>
        <vt:lpwstr>http://www.texaschip.org/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 1 HERE</dc:title>
  <dc:subject/>
  <dc:creator>Adam Fortner</dc:creator>
  <cp:keywords/>
  <cp:lastModifiedBy>Gina Chavez</cp:lastModifiedBy>
  <cp:revision>2</cp:revision>
  <cp:lastPrinted>2016-02-15T20:46:00Z</cp:lastPrinted>
  <dcterms:created xsi:type="dcterms:W3CDTF">2016-03-14T16:19:00Z</dcterms:created>
  <dcterms:modified xsi:type="dcterms:W3CDTF">2016-03-14T16:19:00Z</dcterms:modified>
</cp:coreProperties>
</file>